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4654" w14:textId="547A315E" w:rsidR="007A6A71" w:rsidRPr="00240170" w:rsidRDefault="007A6A71" w:rsidP="006A401D">
      <w:pPr>
        <w:pStyle w:val="0-ChngPhn"/>
        <w:rPr>
          <w:lang w:val="vi-VN"/>
        </w:rPr>
      </w:pPr>
      <w:r w:rsidRPr="00004EB4">
        <w:rPr>
          <w:lang w:val="nl-NL"/>
        </w:rPr>
        <w:t>Phụ lục</w:t>
      </w:r>
      <w:r w:rsidR="00240170">
        <w:rPr>
          <w:lang w:val="vi-VN"/>
        </w:rPr>
        <w:t xml:space="preserve"> I</w:t>
      </w:r>
    </w:p>
    <w:p w14:paraId="6604CB52" w14:textId="2DD7DD50" w:rsidR="007A6A71" w:rsidRPr="008C7F14" w:rsidRDefault="00562584" w:rsidP="00110C28">
      <w:pPr>
        <w:pStyle w:val="0-ChngPhn"/>
        <w:rPr>
          <w:bCs/>
          <w:spacing w:val="-2"/>
          <w:szCs w:val="28"/>
          <w:lang w:val="nl-NL"/>
        </w:rPr>
      </w:pPr>
      <w:r w:rsidRPr="00562584">
        <w:rPr>
          <w:bCs/>
          <w:spacing w:val="-2"/>
          <w:szCs w:val="28"/>
          <w:lang w:val="nl-NL"/>
        </w:rPr>
        <w:t>DANH MỤC THỦ TỤC HÀNH CHÍNH MỚI BAN HÀNH</w:t>
      </w:r>
      <w:r w:rsidR="000511D4">
        <w:rPr>
          <w:bCs/>
          <w:spacing w:val="-2"/>
          <w:szCs w:val="28"/>
          <w:lang w:val="nl-NL"/>
        </w:rPr>
        <w:t xml:space="preserve"> </w:t>
      </w:r>
      <w:r w:rsidRPr="00562584">
        <w:rPr>
          <w:bCs/>
          <w:spacing w:val="-2"/>
          <w:szCs w:val="28"/>
          <w:lang w:val="nl-NL"/>
        </w:rPr>
        <w:t xml:space="preserve">TRONG LĨNH VỰC GIÁO DỤC VÀ ĐÀO TẠO THUỘC HỆ THỐNG GIÁO DỤC QUỐC DÂN THUỘC </w:t>
      </w:r>
      <w:r w:rsidR="000511D4">
        <w:rPr>
          <w:bCs/>
          <w:spacing w:val="-2"/>
          <w:szCs w:val="28"/>
          <w:lang w:val="nl-NL"/>
        </w:rPr>
        <w:t>THẨM QUYỀN GIẢI QUYẾT</w:t>
      </w:r>
      <w:r w:rsidRPr="00562584">
        <w:rPr>
          <w:bCs/>
          <w:spacing w:val="-2"/>
          <w:szCs w:val="28"/>
          <w:lang w:val="nl-NL"/>
        </w:rPr>
        <w:t xml:space="preserve"> CỦA SỞ GIÁO DỤC VÀ ĐÀO TẠO</w:t>
      </w:r>
      <w:r w:rsidR="00FB1B7D" w:rsidRPr="008C7F14">
        <w:rPr>
          <w:bCs/>
          <w:spacing w:val="-2"/>
          <w:szCs w:val="28"/>
          <w:lang w:val="nl-NL"/>
        </w:rPr>
        <w:t xml:space="preserve"> </w:t>
      </w:r>
    </w:p>
    <w:p w14:paraId="60F8FB94" w14:textId="44218A1C" w:rsidR="007A6A71" w:rsidRDefault="007A6A71" w:rsidP="006A401D">
      <w:pPr>
        <w:jc w:val="center"/>
        <w:rPr>
          <w:bCs/>
          <w:i/>
          <w:szCs w:val="28"/>
          <w:lang w:val="nl-NL"/>
        </w:rPr>
      </w:pPr>
      <w:r w:rsidRPr="0018068D">
        <w:rPr>
          <w:bCs/>
          <w:i/>
          <w:szCs w:val="28"/>
          <w:lang w:val="nl-NL"/>
        </w:rPr>
        <w:t xml:space="preserve">(Ban hành kèm theo Quyết định số </w:t>
      </w:r>
      <w:r w:rsidR="00D72147">
        <w:rPr>
          <w:bCs/>
          <w:i/>
          <w:color w:val="FF0000"/>
          <w:szCs w:val="28"/>
        </w:rPr>
        <w:t xml:space="preserve">       </w:t>
      </w:r>
      <w:r w:rsidRPr="0018068D">
        <w:rPr>
          <w:bCs/>
          <w:i/>
          <w:szCs w:val="28"/>
          <w:lang w:val="nl-NL"/>
        </w:rPr>
        <w:t>/QĐ-UBND ngày</w:t>
      </w:r>
      <w:r>
        <w:rPr>
          <w:bCs/>
          <w:i/>
          <w:szCs w:val="28"/>
          <w:lang w:val="nl-NL"/>
        </w:rPr>
        <w:t xml:space="preserve"> </w:t>
      </w:r>
      <w:r w:rsidR="00D72147">
        <w:rPr>
          <w:bCs/>
          <w:i/>
          <w:szCs w:val="28"/>
        </w:rPr>
        <w:t xml:space="preserve">    </w:t>
      </w:r>
      <w:r w:rsidRPr="0018068D">
        <w:rPr>
          <w:bCs/>
          <w:i/>
          <w:szCs w:val="28"/>
          <w:lang w:val="nl-NL"/>
        </w:rPr>
        <w:t>/</w:t>
      </w:r>
      <w:r w:rsidR="009E24DE">
        <w:rPr>
          <w:bCs/>
          <w:i/>
          <w:szCs w:val="28"/>
          <w:lang w:val="vi-VN"/>
        </w:rPr>
        <w:t>01</w:t>
      </w:r>
      <w:r w:rsidRPr="0018068D">
        <w:rPr>
          <w:bCs/>
          <w:i/>
          <w:szCs w:val="28"/>
          <w:lang w:val="nl-NL"/>
        </w:rPr>
        <w:t>/</w:t>
      </w:r>
      <w:r>
        <w:rPr>
          <w:bCs/>
          <w:i/>
          <w:szCs w:val="28"/>
          <w:lang w:val="nl-NL"/>
        </w:rPr>
        <w:t>202</w:t>
      </w:r>
      <w:r w:rsidR="009E24DE">
        <w:rPr>
          <w:bCs/>
          <w:i/>
          <w:szCs w:val="28"/>
          <w:lang w:val="vi-VN"/>
        </w:rPr>
        <w:t>4</w:t>
      </w:r>
      <w:r w:rsidRPr="0018068D">
        <w:rPr>
          <w:bCs/>
          <w:i/>
          <w:szCs w:val="28"/>
          <w:lang w:val="nl-NL"/>
        </w:rPr>
        <w:t xml:space="preserve"> </w:t>
      </w:r>
      <w:bookmarkStart w:id="0" w:name="_GoBack"/>
      <w:bookmarkEnd w:id="0"/>
      <w:r w:rsidRPr="0018068D">
        <w:rPr>
          <w:bCs/>
          <w:i/>
          <w:szCs w:val="28"/>
          <w:lang w:val="nl-NL"/>
        </w:rPr>
        <w:t>của Chủ tịch UBND tỉnh)</w:t>
      </w:r>
    </w:p>
    <w:p w14:paraId="6BD86375" w14:textId="3AD9119C" w:rsidR="006A401D" w:rsidRDefault="00204FAB" w:rsidP="007A6A71">
      <w:pPr>
        <w:pStyle w:val="0-ChngPhn"/>
        <w:rPr>
          <w:lang w:val="nl-NL"/>
        </w:rPr>
      </w:pPr>
      <w:r>
        <w:rPr>
          <w:lang w:val="nl-NL"/>
        </w:rPr>
        <w:t>––––––––––––</w:t>
      </w:r>
    </w:p>
    <w:p w14:paraId="34855DC5" w14:textId="77777777" w:rsidR="00204FAB" w:rsidRDefault="00204FAB" w:rsidP="007A6A71">
      <w:pPr>
        <w:pStyle w:val="0-ChngPhn"/>
        <w:rPr>
          <w:lang w:val="nl-NL"/>
        </w:rPr>
      </w:pPr>
    </w:p>
    <w:p w14:paraId="4AD84118" w14:textId="2C3E448B" w:rsidR="007A6A71" w:rsidRDefault="007A6A71" w:rsidP="007A6A71">
      <w:pPr>
        <w:pStyle w:val="0-ChngPhn"/>
        <w:rPr>
          <w:lang w:val="nl-NL"/>
        </w:rPr>
      </w:pPr>
      <w:r w:rsidRPr="00C30496">
        <w:rPr>
          <w:lang w:val="nl-NL"/>
        </w:rPr>
        <w:t>PHẦN I. DANH MỤC THỦ TỤC HÀNH CHÍNH</w:t>
      </w:r>
    </w:p>
    <w:p w14:paraId="654617DF" w14:textId="4D521ABB" w:rsidR="007A6A71" w:rsidRPr="0096794D" w:rsidRDefault="007A6A71" w:rsidP="007A6A71">
      <w:pPr>
        <w:pStyle w:val="6-onthng"/>
        <w:rPr>
          <w:b/>
          <w:bCs/>
          <w:lang w:val="nl-NL"/>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597"/>
        <w:gridCol w:w="3355"/>
        <w:gridCol w:w="870"/>
        <w:gridCol w:w="920"/>
        <w:gridCol w:w="729"/>
        <w:gridCol w:w="722"/>
        <w:gridCol w:w="1698"/>
        <w:gridCol w:w="924"/>
        <w:gridCol w:w="896"/>
        <w:gridCol w:w="871"/>
        <w:gridCol w:w="2895"/>
      </w:tblGrid>
      <w:tr w:rsidR="00263D40" w:rsidRPr="00E61345" w14:paraId="5A3444CF" w14:textId="77777777" w:rsidTr="008431CD">
        <w:trPr>
          <w:trHeight w:val="803"/>
          <w:tblHeader/>
        </w:trPr>
        <w:tc>
          <w:tcPr>
            <w:tcW w:w="1153" w:type="dxa"/>
            <w:gridSpan w:val="2"/>
            <w:vMerge w:val="restart"/>
            <w:vAlign w:val="center"/>
          </w:tcPr>
          <w:p w14:paraId="4D0EC444"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STT</w:t>
            </w:r>
          </w:p>
        </w:tc>
        <w:tc>
          <w:tcPr>
            <w:tcW w:w="3410" w:type="dxa"/>
            <w:vMerge w:val="restart"/>
            <w:shd w:val="clear" w:color="auto" w:fill="auto"/>
            <w:vAlign w:val="center"/>
            <w:hideMark/>
          </w:tcPr>
          <w:p w14:paraId="4A8C4104"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Lĩnh vực/Thủ tục hành chính</w:t>
            </w:r>
          </w:p>
        </w:tc>
        <w:tc>
          <w:tcPr>
            <w:tcW w:w="870" w:type="dxa"/>
            <w:vMerge w:val="restart"/>
            <w:shd w:val="clear" w:color="auto" w:fill="auto"/>
            <w:vAlign w:val="center"/>
            <w:hideMark/>
          </w:tcPr>
          <w:p w14:paraId="01A707E8"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Cơ chế giải quyết</w:t>
            </w:r>
            <w:r w:rsidRPr="00E61345">
              <w:rPr>
                <w:rStyle w:val="FootnoteReference"/>
                <w:rFonts w:eastAsia="Times New Roman"/>
                <w:b/>
                <w:bCs/>
                <w:color w:val="000000"/>
                <w:sz w:val="24"/>
                <w:szCs w:val="24"/>
              </w:rPr>
              <w:footnoteReference w:id="1"/>
            </w:r>
          </w:p>
        </w:tc>
        <w:tc>
          <w:tcPr>
            <w:tcW w:w="1653" w:type="dxa"/>
            <w:gridSpan w:val="2"/>
            <w:vAlign w:val="center"/>
          </w:tcPr>
          <w:p w14:paraId="7FE6ED66"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Thời hạn giải quyết</w:t>
            </w:r>
          </w:p>
        </w:tc>
        <w:tc>
          <w:tcPr>
            <w:tcW w:w="2284" w:type="dxa"/>
            <w:gridSpan w:val="2"/>
            <w:shd w:val="clear" w:color="auto" w:fill="auto"/>
            <w:vAlign w:val="center"/>
            <w:hideMark/>
          </w:tcPr>
          <w:p w14:paraId="592E6302"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Thời hạn giải quyết</w:t>
            </w:r>
          </w:p>
          <w:p w14:paraId="639919F8"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của các cơ quan</w:t>
            </w:r>
          </w:p>
          <w:p w14:paraId="03861B8F"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(Sau cắt giảm)</w:t>
            </w:r>
          </w:p>
        </w:tc>
        <w:tc>
          <w:tcPr>
            <w:tcW w:w="924" w:type="dxa"/>
            <w:vMerge w:val="restart"/>
            <w:shd w:val="clear" w:color="auto" w:fill="auto"/>
            <w:vAlign w:val="center"/>
            <w:hideMark/>
          </w:tcPr>
          <w:p w14:paraId="4ADBF5F8"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Phí, lệ phí</w:t>
            </w:r>
          </w:p>
        </w:tc>
        <w:tc>
          <w:tcPr>
            <w:tcW w:w="1777" w:type="dxa"/>
            <w:gridSpan w:val="2"/>
            <w:vAlign w:val="center"/>
          </w:tcPr>
          <w:p w14:paraId="73780DB2"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Thực hiện qua dịch vụ bưu chính công ích</w:t>
            </w:r>
          </w:p>
        </w:tc>
        <w:tc>
          <w:tcPr>
            <w:tcW w:w="2950" w:type="dxa"/>
            <w:vMerge w:val="restart"/>
            <w:vAlign w:val="center"/>
          </w:tcPr>
          <w:p w14:paraId="5FB2675D"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Ghi chú</w:t>
            </w:r>
          </w:p>
        </w:tc>
      </w:tr>
      <w:tr w:rsidR="00263D40" w:rsidRPr="00E61345" w14:paraId="478F4411" w14:textId="77777777" w:rsidTr="004D4845">
        <w:trPr>
          <w:trHeight w:val="435"/>
          <w:tblHeader/>
        </w:trPr>
        <w:tc>
          <w:tcPr>
            <w:tcW w:w="1153" w:type="dxa"/>
            <w:gridSpan w:val="2"/>
            <w:vMerge/>
          </w:tcPr>
          <w:p w14:paraId="224093DD" w14:textId="77777777" w:rsidR="007A6A71" w:rsidRPr="00E61345" w:rsidRDefault="007A6A71" w:rsidP="0021023D">
            <w:pPr>
              <w:rPr>
                <w:rFonts w:eastAsia="Times New Roman"/>
                <w:b/>
                <w:bCs/>
                <w:color w:val="000000"/>
                <w:sz w:val="24"/>
                <w:szCs w:val="24"/>
              </w:rPr>
            </w:pPr>
          </w:p>
        </w:tc>
        <w:tc>
          <w:tcPr>
            <w:tcW w:w="3410" w:type="dxa"/>
            <w:vMerge/>
            <w:vAlign w:val="center"/>
            <w:hideMark/>
          </w:tcPr>
          <w:p w14:paraId="227556E2" w14:textId="77777777" w:rsidR="007A6A71" w:rsidRPr="00E61345" w:rsidRDefault="007A6A71" w:rsidP="0021023D">
            <w:pPr>
              <w:rPr>
                <w:rFonts w:eastAsia="Times New Roman"/>
                <w:b/>
                <w:bCs/>
                <w:color w:val="000000"/>
                <w:sz w:val="24"/>
                <w:szCs w:val="24"/>
              </w:rPr>
            </w:pPr>
          </w:p>
        </w:tc>
        <w:tc>
          <w:tcPr>
            <w:tcW w:w="870" w:type="dxa"/>
            <w:vMerge/>
            <w:vAlign w:val="center"/>
            <w:hideMark/>
          </w:tcPr>
          <w:p w14:paraId="0A92EE87" w14:textId="77777777" w:rsidR="007A6A71" w:rsidRPr="00E61345" w:rsidRDefault="007A6A71" w:rsidP="0021023D">
            <w:pPr>
              <w:rPr>
                <w:rFonts w:eastAsia="Times New Roman"/>
                <w:b/>
                <w:bCs/>
                <w:color w:val="000000"/>
                <w:sz w:val="24"/>
                <w:szCs w:val="24"/>
              </w:rPr>
            </w:pPr>
          </w:p>
        </w:tc>
        <w:tc>
          <w:tcPr>
            <w:tcW w:w="924" w:type="dxa"/>
            <w:vAlign w:val="center"/>
          </w:tcPr>
          <w:p w14:paraId="41D55D07" w14:textId="77777777" w:rsidR="007A6A71" w:rsidRPr="00E61345" w:rsidRDefault="007A6A71" w:rsidP="0021023D">
            <w:pPr>
              <w:jc w:val="center"/>
              <w:rPr>
                <w:rFonts w:eastAsia="Times New Roman"/>
                <w:b/>
                <w:color w:val="000000"/>
                <w:sz w:val="24"/>
                <w:szCs w:val="24"/>
              </w:rPr>
            </w:pPr>
            <w:r w:rsidRPr="00E61345">
              <w:rPr>
                <w:rFonts w:eastAsia="Times New Roman"/>
                <w:b/>
                <w:color w:val="000000"/>
                <w:sz w:val="24"/>
                <w:szCs w:val="24"/>
              </w:rPr>
              <w:t>Theo quy định</w:t>
            </w:r>
          </w:p>
        </w:tc>
        <w:tc>
          <w:tcPr>
            <w:tcW w:w="729" w:type="dxa"/>
            <w:shd w:val="clear" w:color="auto" w:fill="auto"/>
            <w:vAlign w:val="center"/>
          </w:tcPr>
          <w:p w14:paraId="315EA0EC" w14:textId="77777777" w:rsidR="007A6A71" w:rsidRPr="00E61345" w:rsidRDefault="007A6A71" w:rsidP="0021023D">
            <w:pPr>
              <w:jc w:val="center"/>
              <w:rPr>
                <w:rFonts w:eastAsia="Times New Roman"/>
                <w:b/>
                <w:color w:val="000000"/>
                <w:sz w:val="24"/>
                <w:szCs w:val="24"/>
              </w:rPr>
            </w:pPr>
            <w:r w:rsidRPr="00E61345">
              <w:rPr>
                <w:rFonts w:eastAsia="Times New Roman"/>
                <w:b/>
                <w:color w:val="000000"/>
                <w:sz w:val="24"/>
                <w:szCs w:val="24"/>
              </w:rPr>
              <w:t>Sau cắt giảm</w:t>
            </w:r>
          </w:p>
        </w:tc>
        <w:tc>
          <w:tcPr>
            <w:tcW w:w="564" w:type="dxa"/>
            <w:shd w:val="clear" w:color="auto" w:fill="auto"/>
            <w:vAlign w:val="center"/>
            <w:hideMark/>
          </w:tcPr>
          <w:p w14:paraId="16504D3C" w14:textId="755ECE17" w:rsidR="001609E7" w:rsidRPr="00E61345" w:rsidRDefault="001609E7" w:rsidP="0021023D">
            <w:pPr>
              <w:jc w:val="center"/>
              <w:rPr>
                <w:rFonts w:eastAsia="Times New Roman"/>
                <w:b/>
                <w:color w:val="000000"/>
                <w:sz w:val="24"/>
                <w:szCs w:val="24"/>
              </w:rPr>
            </w:pPr>
            <w:r>
              <w:rPr>
                <w:rFonts w:eastAsia="Times New Roman"/>
                <w:b/>
                <w:color w:val="000000"/>
                <w:sz w:val="24"/>
                <w:szCs w:val="24"/>
              </w:rPr>
              <w:t>Sở Giáo dục và ĐT</w:t>
            </w:r>
          </w:p>
        </w:tc>
        <w:tc>
          <w:tcPr>
            <w:tcW w:w="1720" w:type="dxa"/>
            <w:shd w:val="clear" w:color="auto" w:fill="auto"/>
            <w:vAlign w:val="center"/>
            <w:hideMark/>
          </w:tcPr>
          <w:p w14:paraId="21AFC5EC" w14:textId="77777777" w:rsidR="007A6A71" w:rsidRPr="00E61345" w:rsidRDefault="007A6A71" w:rsidP="0021023D">
            <w:pPr>
              <w:spacing w:before="60" w:after="60"/>
              <w:jc w:val="center"/>
              <w:rPr>
                <w:rFonts w:eastAsia="Times New Roman"/>
                <w:b/>
                <w:color w:val="000000"/>
                <w:sz w:val="24"/>
                <w:szCs w:val="24"/>
              </w:rPr>
            </w:pPr>
            <w:r w:rsidRPr="00E61345">
              <w:rPr>
                <w:rFonts w:eastAsia="Times New Roman"/>
                <w:b/>
                <w:color w:val="000000"/>
                <w:sz w:val="24"/>
                <w:szCs w:val="24"/>
              </w:rPr>
              <w:t>Cơ quan phối hợp giải quyết</w:t>
            </w:r>
          </w:p>
        </w:tc>
        <w:tc>
          <w:tcPr>
            <w:tcW w:w="924" w:type="dxa"/>
            <w:vMerge/>
            <w:vAlign w:val="center"/>
            <w:hideMark/>
          </w:tcPr>
          <w:p w14:paraId="6F48C161" w14:textId="77777777" w:rsidR="007A6A71" w:rsidRPr="00E61345" w:rsidRDefault="007A6A71" w:rsidP="0021023D">
            <w:pPr>
              <w:rPr>
                <w:rFonts w:eastAsia="Times New Roman"/>
                <w:b/>
                <w:bCs/>
                <w:color w:val="000000"/>
                <w:sz w:val="24"/>
                <w:szCs w:val="24"/>
              </w:rPr>
            </w:pPr>
          </w:p>
        </w:tc>
        <w:tc>
          <w:tcPr>
            <w:tcW w:w="900" w:type="dxa"/>
            <w:vAlign w:val="center"/>
          </w:tcPr>
          <w:p w14:paraId="552F8D7D"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Tiếp nhận hồ sơ</w:t>
            </w:r>
          </w:p>
        </w:tc>
        <w:tc>
          <w:tcPr>
            <w:tcW w:w="877" w:type="dxa"/>
            <w:vAlign w:val="center"/>
          </w:tcPr>
          <w:p w14:paraId="1C53D9F1" w14:textId="77777777" w:rsidR="007A6A71" w:rsidRPr="00E61345" w:rsidRDefault="007A6A71" w:rsidP="0021023D">
            <w:pPr>
              <w:jc w:val="center"/>
              <w:rPr>
                <w:rFonts w:eastAsia="Times New Roman"/>
                <w:b/>
                <w:bCs/>
                <w:color w:val="000000"/>
                <w:sz w:val="24"/>
                <w:szCs w:val="24"/>
              </w:rPr>
            </w:pPr>
            <w:r w:rsidRPr="00E61345">
              <w:rPr>
                <w:rFonts w:eastAsia="Times New Roman"/>
                <w:b/>
                <w:bCs/>
                <w:color w:val="000000"/>
                <w:sz w:val="24"/>
                <w:szCs w:val="24"/>
              </w:rPr>
              <w:t>Trả kết quả</w:t>
            </w:r>
          </w:p>
        </w:tc>
        <w:tc>
          <w:tcPr>
            <w:tcW w:w="2950" w:type="dxa"/>
            <w:vMerge/>
          </w:tcPr>
          <w:p w14:paraId="57DCAABF" w14:textId="77777777" w:rsidR="007A6A71" w:rsidRPr="00E61345" w:rsidRDefault="007A6A71" w:rsidP="0021023D">
            <w:pPr>
              <w:jc w:val="center"/>
              <w:rPr>
                <w:rFonts w:eastAsia="Times New Roman"/>
                <w:b/>
                <w:bCs/>
                <w:color w:val="000000"/>
                <w:sz w:val="24"/>
                <w:szCs w:val="24"/>
              </w:rPr>
            </w:pPr>
          </w:p>
        </w:tc>
      </w:tr>
      <w:tr w:rsidR="00263D40" w:rsidRPr="0008753A" w14:paraId="0B9B7611" w14:textId="77777777" w:rsidTr="008431CD">
        <w:trPr>
          <w:trHeight w:val="315"/>
        </w:trPr>
        <w:tc>
          <w:tcPr>
            <w:tcW w:w="1153" w:type="dxa"/>
            <w:gridSpan w:val="2"/>
          </w:tcPr>
          <w:p w14:paraId="5E33227B" w14:textId="77777777" w:rsidR="007A6A71" w:rsidRPr="0008753A" w:rsidRDefault="007A6A71" w:rsidP="0021023D">
            <w:pPr>
              <w:jc w:val="center"/>
              <w:rPr>
                <w:rFonts w:eastAsia="Times New Roman"/>
                <w:bCs/>
                <w:i/>
                <w:color w:val="000000"/>
                <w:sz w:val="20"/>
                <w:szCs w:val="20"/>
              </w:rPr>
            </w:pPr>
            <w:r w:rsidRPr="0008753A">
              <w:rPr>
                <w:rFonts w:eastAsia="Times New Roman"/>
                <w:bCs/>
                <w:i/>
                <w:color w:val="000000"/>
                <w:sz w:val="20"/>
                <w:szCs w:val="20"/>
              </w:rPr>
              <w:t>(1)</w:t>
            </w:r>
          </w:p>
        </w:tc>
        <w:tc>
          <w:tcPr>
            <w:tcW w:w="3410" w:type="dxa"/>
            <w:shd w:val="clear" w:color="auto" w:fill="auto"/>
            <w:vAlign w:val="center"/>
          </w:tcPr>
          <w:p w14:paraId="6ABEAE82"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w:t>
            </w:r>
            <w:r>
              <w:rPr>
                <w:rFonts w:eastAsia="Times New Roman"/>
                <w:i/>
                <w:color w:val="000000"/>
                <w:sz w:val="20"/>
                <w:szCs w:val="20"/>
              </w:rPr>
              <w:t>2</w:t>
            </w:r>
            <w:r w:rsidRPr="0008753A">
              <w:rPr>
                <w:rFonts w:eastAsia="Times New Roman"/>
                <w:i/>
                <w:color w:val="000000"/>
                <w:sz w:val="20"/>
                <w:szCs w:val="20"/>
              </w:rPr>
              <w:t>)</w:t>
            </w:r>
          </w:p>
        </w:tc>
        <w:tc>
          <w:tcPr>
            <w:tcW w:w="870" w:type="dxa"/>
            <w:shd w:val="clear" w:color="auto" w:fill="auto"/>
            <w:vAlign w:val="center"/>
          </w:tcPr>
          <w:p w14:paraId="3039ABA9"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(3)</w:t>
            </w:r>
          </w:p>
        </w:tc>
        <w:tc>
          <w:tcPr>
            <w:tcW w:w="924" w:type="dxa"/>
            <w:vAlign w:val="center"/>
          </w:tcPr>
          <w:p w14:paraId="2F7B4498"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(4)</w:t>
            </w:r>
          </w:p>
        </w:tc>
        <w:tc>
          <w:tcPr>
            <w:tcW w:w="729" w:type="dxa"/>
            <w:shd w:val="clear" w:color="auto" w:fill="auto"/>
            <w:vAlign w:val="center"/>
          </w:tcPr>
          <w:p w14:paraId="270338A9"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(5)</w:t>
            </w:r>
          </w:p>
        </w:tc>
        <w:tc>
          <w:tcPr>
            <w:tcW w:w="564" w:type="dxa"/>
            <w:shd w:val="clear" w:color="auto" w:fill="auto"/>
            <w:vAlign w:val="center"/>
          </w:tcPr>
          <w:p w14:paraId="41A18323"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(6)</w:t>
            </w:r>
          </w:p>
        </w:tc>
        <w:tc>
          <w:tcPr>
            <w:tcW w:w="1720" w:type="dxa"/>
            <w:shd w:val="clear" w:color="auto" w:fill="auto"/>
            <w:vAlign w:val="center"/>
          </w:tcPr>
          <w:p w14:paraId="6C30A416"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(7)</w:t>
            </w:r>
          </w:p>
        </w:tc>
        <w:tc>
          <w:tcPr>
            <w:tcW w:w="924" w:type="dxa"/>
            <w:shd w:val="clear" w:color="auto" w:fill="auto"/>
            <w:vAlign w:val="center"/>
          </w:tcPr>
          <w:p w14:paraId="2113E00C" w14:textId="77777777" w:rsidR="007A6A71" w:rsidRPr="0008753A" w:rsidRDefault="007A6A71" w:rsidP="0021023D">
            <w:pPr>
              <w:jc w:val="center"/>
              <w:rPr>
                <w:rFonts w:eastAsia="Times New Roman"/>
                <w:i/>
                <w:color w:val="000000"/>
                <w:sz w:val="20"/>
                <w:szCs w:val="20"/>
              </w:rPr>
            </w:pPr>
            <w:r w:rsidRPr="0008753A">
              <w:rPr>
                <w:rFonts w:eastAsia="Times New Roman"/>
                <w:i/>
                <w:color w:val="000000"/>
                <w:sz w:val="20"/>
                <w:szCs w:val="20"/>
              </w:rPr>
              <w:t>(8)</w:t>
            </w:r>
          </w:p>
        </w:tc>
        <w:tc>
          <w:tcPr>
            <w:tcW w:w="1777" w:type="dxa"/>
            <w:gridSpan w:val="2"/>
          </w:tcPr>
          <w:p w14:paraId="1286F02C" w14:textId="77777777" w:rsidR="007A6A71" w:rsidRPr="0008753A" w:rsidRDefault="007A6A71" w:rsidP="0021023D">
            <w:pPr>
              <w:jc w:val="center"/>
              <w:rPr>
                <w:rFonts w:eastAsia="Times New Roman"/>
                <w:i/>
                <w:color w:val="000000"/>
                <w:sz w:val="20"/>
                <w:szCs w:val="20"/>
              </w:rPr>
            </w:pPr>
            <w:r>
              <w:rPr>
                <w:rFonts w:eastAsia="Times New Roman"/>
                <w:i/>
                <w:color w:val="000000"/>
                <w:sz w:val="20"/>
                <w:szCs w:val="20"/>
              </w:rPr>
              <w:t>(9)</w:t>
            </w:r>
          </w:p>
        </w:tc>
        <w:tc>
          <w:tcPr>
            <w:tcW w:w="2950" w:type="dxa"/>
          </w:tcPr>
          <w:p w14:paraId="5DB88A38" w14:textId="77777777" w:rsidR="007A6A71" w:rsidRPr="0008753A" w:rsidRDefault="007A6A71" w:rsidP="0021023D">
            <w:pPr>
              <w:jc w:val="center"/>
              <w:rPr>
                <w:rFonts w:eastAsia="Times New Roman"/>
                <w:i/>
                <w:color w:val="000000"/>
                <w:sz w:val="20"/>
                <w:szCs w:val="20"/>
              </w:rPr>
            </w:pPr>
            <w:r>
              <w:rPr>
                <w:rFonts w:eastAsia="Times New Roman"/>
                <w:i/>
                <w:color w:val="000000"/>
                <w:sz w:val="20"/>
                <w:szCs w:val="20"/>
              </w:rPr>
              <w:t>(10)</w:t>
            </w:r>
          </w:p>
        </w:tc>
      </w:tr>
      <w:tr w:rsidR="007B69BF" w:rsidRPr="00190A34" w14:paraId="32B665D1" w14:textId="77777777" w:rsidTr="008431CD">
        <w:trPr>
          <w:trHeight w:val="315"/>
        </w:trPr>
        <w:tc>
          <w:tcPr>
            <w:tcW w:w="1153" w:type="dxa"/>
            <w:gridSpan w:val="2"/>
            <w:vAlign w:val="center"/>
          </w:tcPr>
          <w:p w14:paraId="1F378CDA" w14:textId="33818D82" w:rsidR="007B69BF" w:rsidRPr="00190A34" w:rsidRDefault="007B69BF" w:rsidP="007B69BF">
            <w:pPr>
              <w:spacing w:before="60" w:after="60"/>
              <w:jc w:val="center"/>
              <w:rPr>
                <w:rFonts w:eastAsia="Times New Roman"/>
                <w:b/>
                <w:bCs/>
                <w:color w:val="000000"/>
                <w:sz w:val="24"/>
                <w:szCs w:val="24"/>
              </w:rPr>
            </w:pPr>
            <w:r>
              <w:rPr>
                <w:rFonts w:eastAsia="Times New Roman"/>
                <w:b/>
                <w:bCs/>
                <w:color w:val="000000"/>
                <w:sz w:val="24"/>
                <w:szCs w:val="24"/>
              </w:rPr>
              <w:t>I</w:t>
            </w:r>
          </w:p>
        </w:tc>
        <w:tc>
          <w:tcPr>
            <w:tcW w:w="13868" w:type="dxa"/>
            <w:gridSpan w:val="10"/>
            <w:shd w:val="clear" w:color="auto" w:fill="auto"/>
            <w:vAlign w:val="center"/>
            <w:hideMark/>
          </w:tcPr>
          <w:p w14:paraId="31234FBA" w14:textId="55809FF8" w:rsidR="007B69BF" w:rsidRPr="00A522DB" w:rsidRDefault="00F438C5" w:rsidP="0021023D">
            <w:pPr>
              <w:spacing w:before="60" w:after="60"/>
              <w:rPr>
                <w:rFonts w:eastAsia="Times New Roman"/>
                <w:b/>
                <w:bCs/>
                <w:color w:val="000000"/>
                <w:sz w:val="24"/>
                <w:szCs w:val="24"/>
                <w:lang w:val="vi-VN"/>
              </w:rPr>
            </w:pPr>
            <w:r>
              <w:rPr>
                <w:rFonts w:eastAsia="Times New Roman"/>
                <w:b/>
                <w:bCs/>
                <w:color w:val="000000"/>
                <w:sz w:val="24"/>
                <w:szCs w:val="24"/>
              </w:rPr>
              <w:t>L</w:t>
            </w:r>
            <w:r w:rsidR="00D677F7" w:rsidRPr="00D677F7">
              <w:rPr>
                <w:rFonts w:eastAsia="Times New Roman"/>
                <w:b/>
                <w:bCs/>
                <w:color w:val="000000"/>
                <w:sz w:val="24"/>
                <w:szCs w:val="24"/>
              </w:rPr>
              <w:t>ĨNH VỰC GIÁO DỤC VÀ ĐÀO TẠO THUỘC HỆ THỐNG GIÁO DỤC QUỐC DÂN</w:t>
            </w:r>
          </w:p>
        </w:tc>
      </w:tr>
      <w:tr w:rsidR="00A522DB" w:rsidRPr="00190A34" w14:paraId="4701C817" w14:textId="77777777" w:rsidTr="004D4845">
        <w:trPr>
          <w:trHeight w:val="315"/>
        </w:trPr>
        <w:tc>
          <w:tcPr>
            <w:tcW w:w="549" w:type="dxa"/>
            <w:vAlign w:val="center"/>
          </w:tcPr>
          <w:p w14:paraId="0FDE66EB" w14:textId="77777777" w:rsidR="00A522DB" w:rsidRPr="00367F88" w:rsidRDefault="00A522DB" w:rsidP="0021023D">
            <w:pPr>
              <w:pStyle w:val="ListParagraph"/>
              <w:numPr>
                <w:ilvl w:val="0"/>
                <w:numId w:val="1"/>
              </w:numPr>
              <w:spacing w:line="240" w:lineRule="auto"/>
              <w:jc w:val="center"/>
              <w:rPr>
                <w:rFonts w:eastAsia="Times New Roman" w:cs="Times New Roman"/>
                <w:bCs/>
                <w:color w:val="000000"/>
                <w:sz w:val="24"/>
                <w:szCs w:val="24"/>
              </w:rPr>
            </w:pPr>
          </w:p>
        </w:tc>
        <w:tc>
          <w:tcPr>
            <w:tcW w:w="604" w:type="dxa"/>
            <w:shd w:val="clear" w:color="auto" w:fill="auto"/>
            <w:vAlign w:val="center"/>
          </w:tcPr>
          <w:p w14:paraId="621F06A2" w14:textId="77777777" w:rsidR="00A522DB" w:rsidRPr="00367F88" w:rsidRDefault="00A522DB" w:rsidP="000C00A2">
            <w:pPr>
              <w:pStyle w:val="ListParagraph"/>
              <w:numPr>
                <w:ilvl w:val="0"/>
                <w:numId w:val="2"/>
              </w:numPr>
              <w:spacing w:line="240" w:lineRule="auto"/>
              <w:rPr>
                <w:rFonts w:eastAsia="Times New Roman" w:cs="Times New Roman"/>
                <w:bCs/>
                <w:color w:val="000000"/>
                <w:sz w:val="24"/>
                <w:szCs w:val="24"/>
              </w:rPr>
            </w:pPr>
          </w:p>
        </w:tc>
        <w:tc>
          <w:tcPr>
            <w:tcW w:w="3410" w:type="dxa"/>
            <w:shd w:val="clear" w:color="auto" w:fill="auto"/>
            <w:vAlign w:val="center"/>
          </w:tcPr>
          <w:p w14:paraId="5B4E56B5" w14:textId="5B2F901A" w:rsidR="00A522DB" w:rsidRPr="009613A6" w:rsidRDefault="009613A6" w:rsidP="00040D79">
            <w:pPr>
              <w:spacing w:before="120"/>
              <w:jc w:val="both"/>
              <w:rPr>
                <w:sz w:val="26"/>
                <w:szCs w:val="26"/>
                <w:lang w:val="vi-VN"/>
              </w:rPr>
            </w:pPr>
            <w:r>
              <w:rPr>
                <w:sz w:val="26"/>
                <w:szCs w:val="26"/>
                <w:lang w:val="vi-VN"/>
              </w:rPr>
              <w:t>Đề nghị đánh giá, công nhận “</w:t>
            </w:r>
            <w:r w:rsidR="00C24EE8">
              <w:rPr>
                <w:sz w:val="26"/>
                <w:szCs w:val="26"/>
                <w:lang w:val="vi-VN"/>
              </w:rPr>
              <w:t xml:space="preserve">Cộng đồng </w:t>
            </w:r>
            <w:r>
              <w:rPr>
                <w:sz w:val="26"/>
                <w:szCs w:val="26"/>
                <w:lang w:val="vi-VN"/>
              </w:rPr>
              <w:t xml:space="preserve">học tập” cấp </w:t>
            </w:r>
            <w:r w:rsidR="00C24EE8">
              <w:rPr>
                <w:sz w:val="26"/>
                <w:szCs w:val="26"/>
                <w:lang w:val="vi-VN"/>
              </w:rPr>
              <w:t>huyện</w:t>
            </w:r>
          </w:p>
        </w:tc>
        <w:tc>
          <w:tcPr>
            <w:tcW w:w="870" w:type="dxa"/>
            <w:shd w:val="clear" w:color="auto" w:fill="auto"/>
            <w:vAlign w:val="center"/>
          </w:tcPr>
          <w:p w14:paraId="67614022" w14:textId="319C2047" w:rsidR="00A522DB" w:rsidRPr="004F2C9F" w:rsidRDefault="00F717F4" w:rsidP="0021023D">
            <w:pPr>
              <w:jc w:val="center"/>
              <w:rPr>
                <w:rFonts w:eastAsia="Times New Roman"/>
                <w:color w:val="000000"/>
                <w:sz w:val="26"/>
                <w:szCs w:val="26"/>
                <w:lang w:val="vi-VN"/>
              </w:rPr>
            </w:pPr>
            <w:r>
              <w:rPr>
                <w:rFonts w:eastAsia="Times New Roman"/>
                <w:color w:val="000000"/>
                <w:sz w:val="26"/>
                <w:szCs w:val="26"/>
                <w:lang w:val="vi-VN"/>
              </w:rPr>
              <w:t>MC</w:t>
            </w:r>
          </w:p>
        </w:tc>
        <w:tc>
          <w:tcPr>
            <w:tcW w:w="924" w:type="dxa"/>
            <w:vAlign w:val="center"/>
          </w:tcPr>
          <w:p w14:paraId="18E64526" w14:textId="4A7D1085" w:rsidR="00A522DB" w:rsidRPr="007A4DB2" w:rsidRDefault="0041273F" w:rsidP="0021023D">
            <w:pPr>
              <w:jc w:val="center"/>
              <w:rPr>
                <w:rFonts w:eastAsia="Times New Roman"/>
                <w:color w:val="000000"/>
                <w:sz w:val="26"/>
                <w:szCs w:val="26"/>
                <w:lang w:val="vi-VN"/>
              </w:rPr>
            </w:pPr>
            <w:r>
              <w:rPr>
                <w:rFonts w:eastAsia="Times New Roman"/>
                <w:color w:val="000000"/>
                <w:sz w:val="26"/>
                <w:szCs w:val="26"/>
                <w:lang w:val="vi-VN"/>
              </w:rPr>
              <w:t>3</w:t>
            </w:r>
            <w:r w:rsidR="006A526C">
              <w:rPr>
                <w:rFonts w:eastAsia="Times New Roman"/>
                <w:color w:val="000000"/>
                <w:sz w:val="26"/>
                <w:szCs w:val="26"/>
                <w:lang w:val="vi-VN"/>
              </w:rPr>
              <w:t>0</w:t>
            </w:r>
            <w:r>
              <w:rPr>
                <w:rFonts w:eastAsia="Times New Roman"/>
                <w:color w:val="000000"/>
                <w:sz w:val="26"/>
                <w:szCs w:val="26"/>
                <w:lang w:val="vi-VN"/>
              </w:rPr>
              <w:t xml:space="preserve"> ngày</w:t>
            </w:r>
          </w:p>
        </w:tc>
        <w:tc>
          <w:tcPr>
            <w:tcW w:w="729" w:type="dxa"/>
            <w:shd w:val="clear" w:color="auto" w:fill="auto"/>
            <w:vAlign w:val="center"/>
          </w:tcPr>
          <w:p w14:paraId="54F792C1" w14:textId="06C7FC43" w:rsidR="00A522DB" w:rsidRPr="004F2C9F" w:rsidRDefault="00A522DB" w:rsidP="0021023D">
            <w:pPr>
              <w:jc w:val="center"/>
              <w:rPr>
                <w:rFonts w:eastAsia="Times New Roman"/>
                <w:color w:val="000000"/>
                <w:sz w:val="26"/>
                <w:szCs w:val="26"/>
                <w:lang w:val="vi-VN"/>
              </w:rPr>
            </w:pPr>
          </w:p>
        </w:tc>
        <w:tc>
          <w:tcPr>
            <w:tcW w:w="564" w:type="dxa"/>
            <w:shd w:val="clear" w:color="auto" w:fill="auto"/>
            <w:vAlign w:val="center"/>
          </w:tcPr>
          <w:p w14:paraId="38C5C8AF" w14:textId="11A8A11C" w:rsidR="00A522DB" w:rsidRDefault="001609E7" w:rsidP="0021023D">
            <w:pPr>
              <w:jc w:val="center"/>
              <w:rPr>
                <w:rFonts w:eastAsia="Times New Roman"/>
                <w:color w:val="000000"/>
                <w:sz w:val="26"/>
                <w:szCs w:val="26"/>
              </w:rPr>
            </w:pPr>
            <w:r>
              <w:rPr>
                <w:rFonts w:eastAsia="Times New Roman"/>
                <w:color w:val="000000"/>
                <w:sz w:val="26"/>
                <w:szCs w:val="26"/>
                <w:lang w:val="vi-VN"/>
              </w:rPr>
              <w:t>30 ngày</w:t>
            </w:r>
          </w:p>
        </w:tc>
        <w:tc>
          <w:tcPr>
            <w:tcW w:w="1720" w:type="dxa"/>
            <w:shd w:val="clear" w:color="auto" w:fill="auto"/>
            <w:vAlign w:val="center"/>
          </w:tcPr>
          <w:p w14:paraId="16B0C1DC" w14:textId="77777777" w:rsidR="00A522DB" w:rsidRPr="0017754B" w:rsidRDefault="00A522DB" w:rsidP="0021023D">
            <w:pPr>
              <w:jc w:val="center"/>
              <w:rPr>
                <w:rFonts w:eastAsia="Times New Roman"/>
                <w:color w:val="000000"/>
                <w:sz w:val="26"/>
                <w:szCs w:val="26"/>
              </w:rPr>
            </w:pPr>
          </w:p>
        </w:tc>
        <w:tc>
          <w:tcPr>
            <w:tcW w:w="924" w:type="dxa"/>
            <w:shd w:val="clear" w:color="auto" w:fill="auto"/>
            <w:vAlign w:val="center"/>
          </w:tcPr>
          <w:p w14:paraId="1609D80F" w14:textId="4E294618" w:rsidR="00A522DB" w:rsidRPr="004F2C9F" w:rsidRDefault="004F2C9F" w:rsidP="00842B41">
            <w:pPr>
              <w:jc w:val="center"/>
              <w:rPr>
                <w:rFonts w:eastAsia="Times New Roman"/>
                <w:color w:val="000000"/>
                <w:sz w:val="26"/>
                <w:szCs w:val="26"/>
                <w:lang w:val="vi-VN"/>
              </w:rPr>
            </w:pPr>
            <w:r>
              <w:rPr>
                <w:rFonts w:eastAsia="Times New Roman"/>
                <w:color w:val="000000"/>
                <w:sz w:val="26"/>
                <w:szCs w:val="26"/>
                <w:lang w:val="vi-VN"/>
              </w:rPr>
              <w:t>Không</w:t>
            </w:r>
          </w:p>
        </w:tc>
        <w:tc>
          <w:tcPr>
            <w:tcW w:w="900" w:type="dxa"/>
            <w:vAlign w:val="center"/>
          </w:tcPr>
          <w:p w14:paraId="12B287B3" w14:textId="2072EB93" w:rsidR="00A522DB" w:rsidRPr="004F2C9F" w:rsidRDefault="004F2C9F" w:rsidP="0021023D">
            <w:pPr>
              <w:jc w:val="center"/>
              <w:rPr>
                <w:rFonts w:eastAsia="Times New Roman"/>
                <w:color w:val="000000"/>
                <w:sz w:val="26"/>
                <w:szCs w:val="26"/>
                <w:lang w:val="vi-VN"/>
              </w:rPr>
            </w:pPr>
            <w:r>
              <w:rPr>
                <w:rFonts w:eastAsia="Times New Roman"/>
                <w:color w:val="000000"/>
                <w:sz w:val="26"/>
                <w:szCs w:val="26"/>
                <w:lang w:val="vi-VN"/>
              </w:rPr>
              <w:t>x</w:t>
            </w:r>
          </w:p>
        </w:tc>
        <w:tc>
          <w:tcPr>
            <w:tcW w:w="877" w:type="dxa"/>
            <w:vAlign w:val="center"/>
          </w:tcPr>
          <w:p w14:paraId="660CA61B" w14:textId="1595DDBB" w:rsidR="00A522DB" w:rsidRPr="00D7314D" w:rsidRDefault="006A526C" w:rsidP="0021023D">
            <w:pPr>
              <w:jc w:val="center"/>
              <w:rPr>
                <w:rFonts w:eastAsia="Times New Roman"/>
                <w:color w:val="000000"/>
                <w:sz w:val="26"/>
                <w:szCs w:val="26"/>
              </w:rPr>
            </w:pPr>
            <w:r>
              <w:rPr>
                <w:rFonts w:eastAsia="Times New Roman"/>
                <w:color w:val="000000"/>
                <w:sz w:val="26"/>
                <w:szCs w:val="26"/>
              </w:rPr>
              <w:t>x</w:t>
            </w:r>
          </w:p>
        </w:tc>
        <w:tc>
          <w:tcPr>
            <w:tcW w:w="2950" w:type="dxa"/>
            <w:vAlign w:val="center"/>
          </w:tcPr>
          <w:p w14:paraId="0E4D4FF9" w14:textId="4E19E754" w:rsidR="00A522DB" w:rsidRPr="004D4845" w:rsidRDefault="00A522DB" w:rsidP="000A4643">
            <w:pPr>
              <w:jc w:val="both"/>
              <w:rPr>
                <w:rFonts w:eastAsia="Times New Roman"/>
                <w:color w:val="000000"/>
                <w:sz w:val="26"/>
                <w:szCs w:val="26"/>
              </w:rPr>
            </w:pPr>
          </w:p>
        </w:tc>
      </w:tr>
    </w:tbl>
    <w:p w14:paraId="3C6B2E60" w14:textId="0CE8DA5C" w:rsidR="007A6A71" w:rsidRPr="002305B0" w:rsidRDefault="007A6A71" w:rsidP="007A6A71">
      <w:pPr>
        <w:spacing w:before="240"/>
        <w:rPr>
          <w:b/>
          <w:kern w:val="1"/>
          <w:sz w:val="26"/>
          <w:szCs w:val="26"/>
          <w:lang w:val="pt-BR" w:eastAsia="hi-IN" w:bidi="hi-IN"/>
        </w:rPr>
      </w:pPr>
      <w:r w:rsidRPr="002305B0">
        <w:rPr>
          <w:b/>
          <w:kern w:val="1"/>
          <w:sz w:val="26"/>
          <w:szCs w:val="26"/>
          <w:lang w:val="pt-BR" w:eastAsia="hi-IN" w:bidi="hi-IN"/>
        </w:rPr>
        <w:t xml:space="preserve">Ghi chú: </w:t>
      </w:r>
    </w:p>
    <w:p w14:paraId="76DEFF00" w14:textId="25C3270D" w:rsidR="007A6A71" w:rsidRPr="00D72147" w:rsidRDefault="007A6A71" w:rsidP="007A6A71">
      <w:pPr>
        <w:rPr>
          <w:kern w:val="1"/>
          <w:sz w:val="20"/>
          <w:szCs w:val="20"/>
          <w:lang w:val="pt-BR" w:eastAsia="hi-IN" w:bidi="hi-IN"/>
        </w:rPr>
      </w:pPr>
      <w:r w:rsidRPr="00D72147">
        <w:rPr>
          <w:b/>
          <w:kern w:val="1"/>
          <w:sz w:val="20"/>
          <w:szCs w:val="20"/>
          <w:lang w:val="pt-BR" w:eastAsia="hi-IN" w:bidi="hi-IN"/>
        </w:rPr>
        <w:t xml:space="preserve">                 - </w:t>
      </w:r>
      <w:r w:rsidRPr="00D72147">
        <w:rPr>
          <w:kern w:val="1"/>
          <w:sz w:val="20"/>
          <w:szCs w:val="20"/>
          <w:lang w:val="pt-BR" w:eastAsia="hi-IN" w:bidi="hi-IN"/>
        </w:rPr>
        <w:t>Thời hạn giải quyết được tính bằng ngày làm việc</w:t>
      </w:r>
      <w:r w:rsidR="00AF20A9">
        <w:rPr>
          <w:kern w:val="1"/>
          <w:sz w:val="20"/>
          <w:szCs w:val="20"/>
          <w:lang w:val="vi-VN" w:eastAsia="hi-IN" w:bidi="hi-IN"/>
        </w:rPr>
        <w:t xml:space="preserve"> (bao gồm cả ngày thứ Bẩy và Chủ Nhật)</w:t>
      </w:r>
      <w:r w:rsidRPr="00D72147">
        <w:rPr>
          <w:kern w:val="1"/>
          <w:sz w:val="20"/>
          <w:szCs w:val="20"/>
          <w:lang w:val="pt-BR" w:eastAsia="hi-IN" w:bidi="hi-IN"/>
        </w:rPr>
        <w:t>;</w:t>
      </w:r>
    </w:p>
    <w:p w14:paraId="63E992F1" w14:textId="79BF9EEE" w:rsidR="007A6A71" w:rsidRPr="00D72147" w:rsidRDefault="007A6A71" w:rsidP="007A6A71">
      <w:pPr>
        <w:rPr>
          <w:kern w:val="1"/>
          <w:sz w:val="20"/>
          <w:szCs w:val="20"/>
          <w:lang w:val="pt-BR" w:eastAsia="hi-IN" w:bidi="hi-IN"/>
        </w:rPr>
      </w:pPr>
      <w:r w:rsidRPr="00D72147">
        <w:rPr>
          <w:kern w:val="1"/>
          <w:sz w:val="20"/>
          <w:szCs w:val="20"/>
          <w:lang w:val="pt-BR" w:eastAsia="hi-IN" w:bidi="hi-IN"/>
        </w:rPr>
        <w:tab/>
        <w:t xml:space="preserve">   - Nơi tiếp nhận hồ sơ: Trung tâm Phục vụ hành chính công tỉnh Bắc Giang</w:t>
      </w:r>
      <w:r w:rsidR="0089263D" w:rsidRPr="00D72147">
        <w:rPr>
          <w:kern w:val="1"/>
          <w:sz w:val="20"/>
          <w:szCs w:val="20"/>
          <w:lang w:val="pt-BR" w:eastAsia="hi-IN" w:bidi="hi-IN"/>
        </w:rPr>
        <w:t>.</w:t>
      </w:r>
    </w:p>
    <w:p w14:paraId="12B70FC7" w14:textId="0485F096" w:rsidR="007A6A71" w:rsidRPr="00D72147" w:rsidRDefault="007A6A71" w:rsidP="007A6A71">
      <w:pPr>
        <w:ind w:firstLine="720"/>
        <w:rPr>
          <w:sz w:val="20"/>
          <w:szCs w:val="20"/>
          <w:lang w:val="nl-NL"/>
        </w:rPr>
      </w:pPr>
      <w:r w:rsidRPr="00D72147">
        <w:rPr>
          <w:sz w:val="20"/>
          <w:szCs w:val="20"/>
          <w:lang w:val="nl-NL"/>
        </w:rPr>
        <w:t xml:space="preserve">Địa chỉ: Trụ sở Liên cơ quan, Quảng trường 3/2, </w:t>
      </w:r>
      <w:r w:rsidR="00FB5A1C" w:rsidRPr="00D72147">
        <w:rPr>
          <w:sz w:val="20"/>
          <w:szCs w:val="20"/>
          <w:lang w:val="nl-NL"/>
        </w:rPr>
        <w:t>t</w:t>
      </w:r>
      <w:r w:rsidRPr="00D72147">
        <w:rPr>
          <w:sz w:val="20"/>
          <w:szCs w:val="20"/>
          <w:lang w:val="nl-NL"/>
        </w:rPr>
        <w:t>hành phố Bắc Giang, tỉnh Bắc Giang,</w:t>
      </w:r>
    </w:p>
    <w:p w14:paraId="13E5122C" w14:textId="6FA9959A" w:rsidR="007A6A71" w:rsidRPr="00D72147" w:rsidRDefault="007A6A71" w:rsidP="007A6A71">
      <w:pPr>
        <w:ind w:firstLine="720"/>
        <w:rPr>
          <w:sz w:val="20"/>
          <w:szCs w:val="20"/>
          <w:lang w:val="nl-NL"/>
        </w:rPr>
      </w:pPr>
      <w:r w:rsidRPr="00D72147">
        <w:rPr>
          <w:sz w:val="20"/>
          <w:szCs w:val="20"/>
          <w:lang w:val="nl-NL"/>
        </w:rPr>
        <w:t xml:space="preserve">Website: </w:t>
      </w:r>
      <w:r w:rsidR="00040D79" w:rsidRPr="00D72147">
        <w:rPr>
          <w:sz w:val="20"/>
          <w:szCs w:val="20"/>
          <w:lang w:val="nl-NL"/>
        </w:rPr>
        <w:t>http://hcc.bacgiang.gov.vn</w:t>
      </w:r>
      <w:r w:rsidRPr="00D72147">
        <w:rPr>
          <w:sz w:val="20"/>
          <w:szCs w:val="20"/>
          <w:lang w:val="nl-NL"/>
        </w:rPr>
        <w:t>;</w:t>
      </w:r>
      <w:r w:rsidR="00040D79" w:rsidRPr="00D72147">
        <w:rPr>
          <w:sz w:val="20"/>
          <w:szCs w:val="20"/>
          <w:lang w:val="nl-NL"/>
        </w:rPr>
        <w:t xml:space="preserve"> </w:t>
      </w:r>
      <w:r w:rsidRPr="00D72147">
        <w:rPr>
          <w:sz w:val="20"/>
          <w:szCs w:val="20"/>
          <w:lang w:val="nl-NL"/>
        </w:rPr>
        <w:t>Số điện thoại lễ tân/tổng đài: (0204) 3531.111 – (0204) 3831.818;</w:t>
      </w:r>
    </w:p>
    <w:p w14:paraId="0D0E5815" w14:textId="68875485" w:rsidR="00687F06" w:rsidRPr="00D72147" w:rsidRDefault="007A6A71" w:rsidP="007A6A71">
      <w:pPr>
        <w:ind w:firstLine="720"/>
        <w:rPr>
          <w:sz w:val="20"/>
          <w:szCs w:val="20"/>
          <w:lang w:val="nl-NL"/>
        </w:rPr>
      </w:pPr>
      <w:r w:rsidRPr="00D72147">
        <w:rPr>
          <w:sz w:val="20"/>
          <w:szCs w:val="20"/>
          <w:lang w:val="nl-NL"/>
        </w:rPr>
        <w:t>Số điện thoại trực tiếp nhận hồ sơ của Sở Giáo dục và Đào tạo: (0204) 3662.006</w:t>
      </w:r>
    </w:p>
    <w:p w14:paraId="1FF2536C" w14:textId="77777777" w:rsidR="007A6A71" w:rsidRDefault="007A6A71" w:rsidP="00D72147">
      <w:pPr>
        <w:rPr>
          <w:lang w:val="nl-NL"/>
        </w:rPr>
      </w:pPr>
    </w:p>
    <w:p w14:paraId="0CC2A187" w14:textId="2E772822" w:rsidR="004477EB" w:rsidRPr="004477EB" w:rsidRDefault="004477EB" w:rsidP="004477EB">
      <w:pPr>
        <w:pStyle w:val="6-onthng"/>
        <w:rPr>
          <w:b/>
          <w:bCs/>
          <w:lang w:val="nl-NL"/>
        </w:rPr>
        <w:sectPr w:rsidR="004477EB" w:rsidRPr="004477EB" w:rsidSect="00B00B75">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701" w:right="1134" w:bottom="1134" w:left="1134" w:header="720" w:footer="720" w:gutter="0"/>
          <w:pgNumType w:start="1"/>
          <w:cols w:space="720"/>
          <w:titlePg/>
          <w:docGrid w:linePitch="381"/>
        </w:sectPr>
      </w:pPr>
    </w:p>
    <w:p w14:paraId="0D6BAF54" w14:textId="16E8C932" w:rsidR="007A6A71" w:rsidRPr="00F63A8A" w:rsidRDefault="002D7F22" w:rsidP="002D7F22">
      <w:pPr>
        <w:pStyle w:val="0-ChngPhn"/>
        <w:rPr>
          <w:sz w:val="28"/>
          <w:szCs w:val="28"/>
          <w:lang w:val="nl-NL"/>
        </w:rPr>
      </w:pPr>
      <w:r w:rsidRPr="00F63A8A">
        <w:rPr>
          <w:sz w:val="28"/>
          <w:szCs w:val="28"/>
          <w:lang w:val="nl-NL"/>
        </w:rPr>
        <w:lastRenderedPageBreak/>
        <w:t>PHẦN II. NỘI DUNG THỦ TỤC HÀNH CHÍNH</w:t>
      </w:r>
    </w:p>
    <w:p w14:paraId="3D6024C3" w14:textId="77777777" w:rsidR="002D7F22" w:rsidRDefault="002D7F22" w:rsidP="007A6A71">
      <w:pPr>
        <w:ind w:firstLine="720"/>
        <w:rPr>
          <w:lang w:val="nl-NL"/>
        </w:rPr>
      </w:pPr>
    </w:p>
    <w:p w14:paraId="6B2C7187" w14:textId="5E9833C5" w:rsidR="002D7F22" w:rsidRPr="009F3CB1" w:rsidRDefault="002D7F22" w:rsidP="009A572D">
      <w:pPr>
        <w:spacing w:before="120" w:after="120"/>
        <w:ind w:firstLine="720"/>
        <w:jc w:val="both"/>
        <w:rPr>
          <w:b/>
          <w:bCs/>
          <w:lang w:val="vi-VN"/>
        </w:rPr>
      </w:pPr>
      <w:r w:rsidRPr="002D7F22">
        <w:rPr>
          <w:b/>
          <w:bCs/>
          <w:lang w:val="nl-NL"/>
        </w:rPr>
        <w:t xml:space="preserve">I. </w:t>
      </w:r>
      <w:r w:rsidR="00263D40" w:rsidRPr="00263D40">
        <w:rPr>
          <w:b/>
          <w:bCs/>
          <w:lang w:val="nl-NL"/>
        </w:rPr>
        <w:t xml:space="preserve">LĨNH VỰC </w:t>
      </w:r>
      <w:r w:rsidR="00FC3F2E" w:rsidRPr="00FC3F2E">
        <w:rPr>
          <w:b/>
          <w:bCs/>
          <w:lang w:val="nl-NL"/>
        </w:rPr>
        <w:t>GIÁO DỤC VÀ ĐÀO TẠO THUỘC HỆ THỐNG GIÁO DỤC QUỐC DÂN</w:t>
      </w:r>
    </w:p>
    <w:p w14:paraId="5EB8A225" w14:textId="021CBB2A" w:rsidR="002D7F22" w:rsidRPr="002D7F22" w:rsidRDefault="002D7F22" w:rsidP="009A572D">
      <w:pPr>
        <w:spacing w:before="120" w:after="120"/>
        <w:ind w:firstLine="720"/>
        <w:jc w:val="both"/>
        <w:rPr>
          <w:b/>
          <w:bCs/>
          <w:lang w:val="nl-NL"/>
        </w:rPr>
      </w:pPr>
      <w:r w:rsidRPr="002D7F22">
        <w:rPr>
          <w:b/>
          <w:bCs/>
          <w:lang w:val="nl-NL"/>
        </w:rPr>
        <w:t xml:space="preserve">1. </w:t>
      </w:r>
      <w:r w:rsidR="00CD3B6E" w:rsidRPr="00CD3B6E">
        <w:rPr>
          <w:b/>
          <w:bCs/>
          <w:lang w:val="vi-VN"/>
        </w:rPr>
        <w:t>Đề nghị đánh giá, công nhận “Cộng đồng học tập” cấp huyện</w:t>
      </w:r>
    </w:p>
    <w:p w14:paraId="18AEB891" w14:textId="1B46DF5C" w:rsidR="00BE5A2E" w:rsidRPr="00BE5A2E" w:rsidRDefault="00BE5A2E" w:rsidP="00BE5A2E">
      <w:pPr>
        <w:spacing w:before="120" w:after="120"/>
        <w:ind w:firstLine="720"/>
        <w:jc w:val="both"/>
        <w:rPr>
          <w:b/>
          <w:bCs/>
          <w:i/>
          <w:iCs/>
          <w:lang w:val="nl-NL"/>
        </w:rPr>
      </w:pPr>
      <w:bookmarkStart w:id="1" w:name="_Hlk131363324"/>
      <w:r w:rsidRPr="00BE5A2E">
        <w:rPr>
          <w:b/>
          <w:bCs/>
          <w:i/>
          <w:iCs/>
          <w:lang w:val="vi-VN"/>
        </w:rPr>
        <w:t>1</w:t>
      </w:r>
      <w:r w:rsidRPr="00BE5A2E">
        <w:rPr>
          <w:b/>
          <w:bCs/>
          <w:i/>
          <w:iCs/>
          <w:lang w:val="nl-NL"/>
        </w:rPr>
        <w:t>.1 Trình tự thực hiện</w:t>
      </w:r>
    </w:p>
    <w:p w14:paraId="18E40DF2" w14:textId="1F21BDBF" w:rsidR="00B42558" w:rsidRPr="00B42558" w:rsidRDefault="002C374B" w:rsidP="00B42558">
      <w:pPr>
        <w:spacing w:before="120" w:after="120"/>
        <w:ind w:firstLine="720"/>
        <w:jc w:val="both"/>
        <w:rPr>
          <w:lang w:val="vi-VN"/>
        </w:rPr>
      </w:pPr>
      <w:r>
        <w:rPr>
          <w:lang w:val="vi-VN"/>
        </w:rPr>
        <w:t>Ủ</w:t>
      </w:r>
      <w:r w:rsidR="00B42558" w:rsidRPr="00B42558">
        <w:rPr>
          <w:lang w:val="vi-VN"/>
        </w:rPr>
        <w:t>y ban nhân dân cấp huyện tổ chức triển khai việc tự đánh giá, công nhận “Cộng đồng học tập” cấp huyện theo quy trình sau đây:</w:t>
      </w:r>
    </w:p>
    <w:p w14:paraId="7FF7CC56" w14:textId="01440DA0" w:rsidR="00B42558" w:rsidRPr="00B42558" w:rsidRDefault="00B42558" w:rsidP="00B42558">
      <w:pPr>
        <w:spacing w:before="120" w:after="120"/>
        <w:ind w:firstLine="720"/>
        <w:jc w:val="both"/>
        <w:rPr>
          <w:lang w:val="vi-VN"/>
        </w:rPr>
      </w:pPr>
      <w:r w:rsidRPr="00B42558">
        <w:rPr>
          <w:lang w:val="vi-VN"/>
        </w:rPr>
        <w:t>a)</w:t>
      </w:r>
      <w:r w:rsidR="00A334F2">
        <w:rPr>
          <w:lang w:val="vi-VN"/>
        </w:rPr>
        <w:t xml:space="preserve"> Ủ</w:t>
      </w:r>
      <w:r w:rsidRPr="00B42558">
        <w:rPr>
          <w:lang w:val="vi-VN"/>
        </w:rPr>
        <w:t>y ban nhân dân cấp huyện giao Phòng Giáo dục và Đào tạo chủ trì tổ chức thực hiện tự đánh giá, công nhận “Cộng đồng học tập” cấp huyện;</w:t>
      </w:r>
    </w:p>
    <w:p w14:paraId="6066EDC3" w14:textId="6DDE8106" w:rsidR="00B42558" w:rsidRPr="00B42558" w:rsidRDefault="00B42558" w:rsidP="00B42558">
      <w:pPr>
        <w:spacing w:before="120" w:after="120"/>
        <w:ind w:firstLine="720"/>
        <w:jc w:val="both"/>
        <w:rPr>
          <w:lang w:val="vi-VN"/>
        </w:rPr>
      </w:pPr>
      <w:r w:rsidRPr="00B42558">
        <w:rPr>
          <w:lang w:val="vi-VN"/>
        </w:rPr>
        <w:t>b)</w:t>
      </w:r>
      <w:r w:rsidR="00E12252">
        <w:rPr>
          <w:lang w:val="vi-VN"/>
        </w:rPr>
        <w:t xml:space="preserve"> </w:t>
      </w:r>
      <w:r w:rsidRPr="00B42558">
        <w:rPr>
          <w:lang w:val="vi-VN"/>
        </w:rPr>
        <w:t>Xây dựng báo cáo tự đánh giá, công nhận “Cộng đồng học tập” cấp huyện, bản tổng h</w:t>
      </w:r>
      <w:r w:rsidR="003423DA">
        <w:rPr>
          <w:lang w:val="vi-VN"/>
        </w:rPr>
        <w:t>ợ</w:t>
      </w:r>
      <w:r w:rsidRPr="00B42558">
        <w:rPr>
          <w:lang w:val="vi-VN"/>
        </w:rPr>
        <w:t>p kết quả đánh giá các tiêu chí, chỉ tiêu; thông tin, số liệu của báo cáo tự đánh giá và bản t</w:t>
      </w:r>
      <w:r w:rsidR="00D622FF">
        <w:rPr>
          <w:lang w:val="vi-VN"/>
        </w:rPr>
        <w:t>ổ</w:t>
      </w:r>
      <w:r w:rsidRPr="00B42558">
        <w:rPr>
          <w:lang w:val="vi-VN"/>
        </w:rPr>
        <w:t>ng h</w:t>
      </w:r>
      <w:r w:rsidR="003423DA">
        <w:rPr>
          <w:lang w:val="vi-VN"/>
        </w:rPr>
        <w:t>ợ</w:t>
      </w:r>
      <w:r w:rsidRPr="00B42558">
        <w:rPr>
          <w:lang w:val="vi-VN"/>
        </w:rPr>
        <w:t>p kết quả đánh giá các tiêu chí, chỉ tiêu được tính từ ngày 01 tháng 01 đến ngày 31 tháng 12 của năm đánh giá;</w:t>
      </w:r>
    </w:p>
    <w:p w14:paraId="67BC28AE" w14:textId="60FF76C2" w:rsidR="00B42558" w:rsidRPr="00B42558" w:rsidRDefault="00B42558" w:rsidP="00B42558">
      <w:pPr>
        <w:spacing w:before="120" w:after="120"/>
        <w:ind w:firstLine="720"/>
        <w:jc w:val="both"/>
        <w:rPr>
          <w:lang w:val="vi-VN"/>
        </w:rPr>
      </w:pPr>
      <w:r w:rsidRPr="00B42558">
        <w:rPr>
          <w:lang w:val="vi-VN"/>
        </w:rPr>
        <w:t>c)</w:t>
      </w:r>
      <w:r w:rsidR="00861DC9">
        <w:rPr>
          <w:lang w:val="vi-VN"/>
        </w:rPr>
        <w:t xml:space="preserve"> </w:t>
      </w:r>
      <w:r w:rsidRPr="00B42558">
        <w:rPr>
          <w:lang w:val="vi-VN"/>
        </w:rPr>
        <w:t>Tổ chức cuộc h</w:t>
      </w:r>
      <w:r w:rsidR="003423DA">
        <w:rPr>
          <w:lang w:val="vi-VN"/>
        </w:rPr>
        <w:t>ọ</w:t>
      </w:r>
      <w:r w:rsidRPr="00B42558">
        <w:rPr>
          <w:lang w:val="vi-VN"/>
        </w:rPr>
        <w:t>p xem xét, đánh giá, thống nhất kết quả tự đánh giá, công nhận “Cộng đồng học tập” cấp huyện.</w:t>
      </w:r>
    </w:p>
    <w:p w14:paraId="37C64B1E" w14:textId="02E7FCE6" w:rsidR="00017F42" w:rsidRPr="00017F42" w:rsidRDefault="00561487" w:rsidP="00B42558">
      <w:pPr>
        <w:spacing w:before="120" w:after="120"/>
        <w:ind w:firstLine="720"/>
        <w:jc w:val="both"/>
        <w:rPr>
          <w:lang w:val="vi-VN"/>
        </w:rPr>
      </w:pPr>
      <w:r>
        <w:rPr>
          <w:lang w:val="vi-VN"/>
        </w:rPr>
        <w:t xml:space="preserve">d) </w:t>
      </w:r>
      <w:r w:rsidR="00B42558" w:rsidRPr="00B42558">
        <w:rPr>
          <w:lang w:val="vi-VN"/>
        </w:rPr>
        <w:t xml:space="preserve">Căn cứ kết quả tự đánh giá, nếu huyện đáp ứng đủ điều kiện công nhận “Cộng đồng học tập” cấp huyện ở mức độ nào thì </w:t>
      </w:r>
      <w:r>
        <w:rPr>
          <w:lang w:val="vi-VN"/>
        </w:rPr>
        <w:t>Ủ</w:t>
      </w:r>
      <w:r w:rsidR="00B42558" w:rsidRPr="00B42558">
        <w:rPr>
          <w:lang w:val="vi-VN"/>
        </w:rPr>
        <w:t>y ban nhân dân cấp huyện gửi hồ sơ đề nghị công nhận ở mức độ đó.</w:t>
      </w:r>
    </w:p>
    <w:p w14:paraId="5A24F0A3" w14:textId="140DFAA9" w:rsidR="00A7370B" w:rsidRDefault="009D0B29" w:rsidP="00BE5A2E">
      <w:pPr>
        <w:spacing w:before="120" w:after="120"/>
        <w:ind w:firstLine="720"/>
        <w:jc w:val="both"/>
        <w:rPr>
          <w:b/>
          <w:bCs/>
          <w:i/>
          <w:iCs/>
          <w:lang w:val="nl-NL"/>
        </w:rPr>
      </w:pPr>
      <w:r>
        <w:rPr>
          <w:b/>
          <w:bCs/>
          <w:i/>
          <w:iCs/>
          <w:lang w:val="vi-VN"/>
        </w:rPr>
        <w:t>1</w:t>
      </w:r>
      <w:r w:rsidR="00BE5A2E" w:rsidRPr="00A7370B">
        <w:rPr>
          <w:b/>
          <w:bCs/>
          <w:i/>
          <w:iCs/>
          <w:lang w:val="nl-NL"/>
        </w:rPr>
        <w:t>.2. Cách thức thực hiện</w:t>
      </w:r>
    </w:p>
    <w:p w14:paraId="7725B478" w14:textId="77777777" w:rsidR="001B591F" w:rsidRPr="001B591F" w:rsidRDefault="001B591F" w:rsidP="001B591F">
      <w:pPr>
        <w:spacing w:before="120" w:after="120"/>
        <w:ind w:firstLine="720"/>
        <w:jc w:val="both"/>
        <w:rPr>
          <w:lang w:val="vi-VN"/>
        </w:rPr>
      </w:pPr>
      <w:r w:rsidRPr="001B591F">
        <w:rPr>
          <w:lang w:val="vi-VN"/>
        </w:rPr>
        <w:t>Nộp hồ sơ theo một trong ba cách thức sau:</w:t>
      </w:r>
    </w:p>
    <w:p w14:paraId="7C8945CB" w14:textId="0280AEC1" w:rsidR="001B591F" w:rsidRPr="001B591F" w:rsidRDefault="001B591F" w:rsidP="001B591F">
      <w:pPr>
        <w:spacing w:before="120" w:after="120"/>
        <w:ind w:firstLine="720"/>
        <w:jc w:val="both"/>
        <w:rPr>
          <w:lang w:val="vi-VN"/>
        </w:rPr>
      </w:pPr>
      <w:r w:rsidRPr="001B591F">
        <w:rPr>
          <w:lang w:val="vi-VN"/>
        </w:rPr>
        <w:t>a)</w:t>
      </w:r>
      <w:r w:rsidR="00BE572C">
        <w:rPr>
          <w:lang w:val="vi-VN"/>
        </w:rPr>
        <w:t xml:space="preserve"> </w:t>
      </w:r>
      <w:r w:rsidRPr="001B591F">
        <w:rPr>
          <w:lang w:val="vi-VN"/>
        </w:rPr>
        <w:t>Trực tiếp.</w:t>
      </w:r>
    </w:p>
    <w:p w14:paraId="394773A8" w14:textId="70A87009" w:rsidR="001B591F" w:rsidRPr="001B591F" w:rsidRDefault="001B591F" w:rsidP="001B591F">
      <w:pPr>
        <w:spacing w:before="120" w:after="120"/>
        <w:ind w:firstLine="720"/>
        <w:jc w:val="both"/>
        <w:rPr>
          <w:lang w:val="vi-VN"/>
        </w:rPr>
      </w:pPr>
      <w:r w:rsidRPr="001B591F">
        <w:rPr>
          <w:lang w:val="vi-VN"/>
        </w:rPr>
        <w:t>b)</w:t>
      </w:r>
      <w:r w:rsidR="00BE572C">
        <w:rPr>
          <w:lang w:val="vi-VN"/>
        </w:rPr>
        <w:t xml:space="preserve"> </w:t>
      </w:r>
      <w:r w:rsidRPr="001B591F">
        <w:rPr>
          <w:lang w:val="vi-VN"/>
        </w:rPr>
        <w:t>Qua đường bưu điện.</w:t>
      </w:r>
    </w:p>
    <w:p w14:paraId="7E55FB94" w14:textId="59BDEE6A" w:rsidR="00A7370B" w:rsidRPr="00A7370B" w:rsidRDefault="001B591F" w:rsidP="001B591F">
      <w:pPr>
        <w:spacing w:before="120" w:after="120"/>
        <w:ind w:firstLine="720"/>
        <w:jc w:val="both"/>
        <w:rPr>
          <w:lang w:val="vi-VN"/>
        </w:rPr>
      </w:pPr>
      <w:r w:rsidRPr="001B591F">
        <w:rPr>
          <w:lang w:val="vi-VN"/>
        </w:rPr>
        <w:t>c)</w:t>
      </w:r>
      <w:r w:rsidR="00BE572C">
        <w:rPr>
          <w:lang w:val="vi-VN"/>
        </w:rPr>
        <w:t xml:space="preserve"> </w:t>
      </w:r>
      <w:r w:rsidRPr="001B591F">
        <w:rPr>
          <w:lang w:val="vi-VN"/>
        </w:rPr>
        <w:t>Nộp trực tuyến</w:t>
      </w:r>
      <w:r w:rsidR="00A7370B">
        <w:rPr>
          <w:lang w:val="vi-VN"/>
        </w:rPr>
        <w:t>.</w:t>
      </w:r>
    </w:p>
    <w:p w14:paraId="20705125" w14:textId="3934D3E7" w:rsidR="00BE5A2E" w:rsidRPr="00A7370B" w:rsidRDefault="00A7370B" w:rsidP="00BE5A2E">
      <w:pPr>
        <w:spacing w:before="120" w:after="120"/>
        <w:ind w:firstLine="720"/>
        <w:jc w:val="both"/>
        <w:rPr>
          <w:b/>
          <w:bCs/>
          <w:i/>
          <w:iCs/>
          <w:lang w:val="nl-NL"/>
        </w:rPr>
      </w:pPr>
      <w:r w:rsidRPr="00A7370B">
        <w:rPr>
          <w:b/>
          <w:bCs/>
          <w:i/>
          <w:iCs/>
          <w:lang w:val="vi-VN"/>
        </w:rPr>
        <w:t>1</w:t>
      </w:r>
      <w:r w:rsidR="00BE5A2E" w:rsidRPr="00A7370B">
        <w:rPr>
          <w:b/>
          <w:bCs/>
          <w:i/>
          <w:iCs/>
          <w:lang w:val="nl-NL"/>
        </w:rPr>
        <w:t>.3. Thành phần và số lượng hồ sơ</w:t>
      </w:r>
    </w:p>
    <w:p w14:paraId="53CE6BD6" w14:textId="66CAF52E" w:rsidR="00267C47" w:rsidRPr="00267C47" w:rsidRDefault="00267C47" w:rsidP="00BE5A2E">
      <w:pPr>
        <w:spacing w:before="120" w:after="120"/>
        <w:ind w:firstLine="720"/>
        <w:jc w:val="both"/>
        <w:rPr>
          <w:lang w:val="vi-VN"/>
        </w:rPr>
      </w:pPr>
      <w:r w:rsidRPr="00267C47">
        <w:rPr>
          <w:lang w:val="vi-VN"/>
        </w:rPr>
        <w:t>1.3.1.</w:t>
      </w:r>
      <w:r>
        <w:rPr>
          <w:lang w:val="vi-VN"/>
        </w:rPr>
        <w:t xml:space="preserve"> Thành phần hồ sơ</w:t>
      </w:r>
    </w:p>
    <w:p w14:paraId="1D7BED46" w14:textId="0CB4C594" w:rsidR="00B42558" w:rsidRPr="00B42558" w:rsidRDefault="00B42558" w:rsidP="00B42558">
      <w:pPr>
        <w:spacing w:before="120" w:after="120"/>
        <w:ind w:firstLine="720"/>
        <w:jc w:val="both"/>
        <w:rPr>
          <w:lang w:val="vi-VN"/>
        </w:rPr>
      </w:pPr>
      <w:r w:rsidRPr="00B42558">
        <w:rPr>
          <w:lang w:val="vi-VN"/>
        </w:rPr>
        <w:t>a)</w:t>
      </w:r>
      <w:r w:rsidR="00FB075E">
        <w:rPr>
          <w:lang w:val="vi-VN"/>
        </w:rPr>
        <w:t xml:space="preserve"> </w:t>
      </w:r>
      <w:r w:rsidRPr="00B42558">
        <w:rPr>
          <w:lang w:val="vi-VN"/>
        </w:rPr>
        <w:t>Tờ trình đề nghị đánh giá, công nhận “Cộng đồng học tập” cấp huyện;</w:t>
      </w:r>
    </w:p>
    <w:p w14:paraId="364A4FC0" w14:textId="0FACB902" w:rsidR="00B42558" w:rsidRPr="00B42558" w:rsidRDefault="00B42558" w:rsidP="00B42558">
      <w:pPr>
        <w:spacing w:before="120" w:after="120"/>
        <w:ind w:firstLine="720"/>
        <w:jc w:val="both"/>
        <w:rPr>
          <w:lang w:val="vi-VN"/>
        </w:rPr>
      </w:pPr>
      <w:r w:rsidRPr="00B42558">
        <w:rPr>
          <w:lang w:val="vi-VN"/>
        </w:rPr>
        <w:t>b)</w:t>
      </w:r>
      <w:r w:rsidR="00FB075E">
        <w:rPr>
          <w:lang w:val="vi-VN"/>
        </w:rPr>
        <w:t xml:space="preserve"> </w:t>
      </w:r>
      <w:r w:rsidRPr="00B42558">
        <w:rPr>
          <w:lang w:val="vi-VN"/>
        </w:rPr>
        <w:t>Báo cáo tự đánh giá, công nhận “Cộng đồng học tập” cấp huyện;</w:t>
      </w:r>
    </w:p>
    <w:p w14:paraId="11ADFE45" w14:textId="5AEB18F3" w:rsidR="00267C47" w:rsidRPr="00267C47" w:rsidRDefault="00B42558" w:rsidP="00B42558">
      <w:pPr>
        <w:spacing w:before="120" w:after="120"/>
        <w:ind w:firstLine="720"/>
        <w:jc w:val="both"/>
        <w:rPr>
          <w:lang w:val="vi-VN"/>
        </w:rPr>
      </w:pPr>
      <w:r w:rsidRPr="00B42558">
        <w:rPr>
          <w:lang w:val="vi-VN"/>
        </w:rPr>
        <w:t>c)</w:t>
      </w:r>
      <w:r w:rsidR="00D622FF">
        <w:rPr>
          <w:lang w:val="vi-VN"/>
        </w:rPr>
        <w:t xml:space="preserve"> </w:t>
      </w:r>
      <w:r w:rsidRPr="00B42558">
        <w:rPr>
          <w:lang w:val="vi-VN"/>
        </w:rPr>
        <w:t>Bản t</w:t>
      </w:r>
      <w:r w:rsidR="00D622FF">
        <w:rPr>
          <w:lang w:val="vi-VN"/>
        </w:rPr>
        <w:t>ổ</w:t>
      </w:r>
      <w:r w:rsidRPr="00B42558">
        <w:rPr>
          <w:lang w:val="vi-VN"/>
        </w:rPr>
        <w:t>ng hợp kết quả tự đánh giá các tiêu chí, chỉ tiêu</w:t>
      </w:r>
      <w:r w:rsidR="00560116" w:rsidRPr="00560116">
        <w:rPr>
          <w:lang w:val="vi-VN"/>
        </w:rPr>
        <w:t>.</w:t>
      </w:r>
    </w:p>
    <w:p w14:paraId="5D3CF966" w14:textId="7B911C1A" w:rsidR="00BE5A2E" w:rsidRPr="006E2419" w:rsidRDefault="00267C47" w:rsidP="00BE5A2E">
      <w:pPr>
        <w:spacing w:before="120" w:after="120"/>
        <w:ind w:firstLine="720"/>
        <w:jc w:val="both"/>
        <w:rPr>
          <w:lang w:val="vi-VN"/>
        </w:rPr>
      </w:pPr>
      <w:r>
        <w:rPr>
          <w:lang w:val="vi-VN"/>
        </w:rPr>
        <w:t>1</w:t>
      </w:r>
      <w:r w:rsidR="00BE5A2E" w:rsidRPr="00BE5A2E">
        <w:rPr>
          <w:lang w:val="nl-NL"/>
        </w:rPr>
        <w:t>.3.</w:t>
      </w:r>
      <w:r>
        <w:rPr>
          <w:lang w:val="vi-VN"/>
        </w:rPr>
        <w:t>2</w:t>
      </w:r>
      <w:r w:rsidR="00BE5A2E" w:rsidRPr="00BE5A2E">
        <w:rPr>
          <w:lang w:val="nl-NL"/>
        </w:rPr>
        <w:t>. Số lượng hồ sơ: 01 bộ</w:t>
      </w:r>
      <w:r w:rsidR="006E2419">
        <w:rPr>
          <w:lang w:val="vi-VN"/>
        </w:rPr>
        <w:t>.</w:t>
      </w:r>
    </w:p>
    <w:p w14:paraId="61076DAB" w14:textId="77777777" w:rsidR="001B591F" w:rsidRDefault="00267C47" w:rsidP="00BE5A2E">
      <w:pPr>
        <w:spacing w:before="120" w:after="120"/>
        <w:ind w:firstLine="720"/>
        <w:jc w:val="both"/>
        <w:rPr>
          <w:b/>
          <w:bCs/>
          <w:i/>
          <w:iCs/>
          <w:lang w:val="nl-NL"/>
        </w:rPr>
      </w:pPr>
      <w:r w:rsidRPr="009D0B29">
        <w:rPr>
          <w:b/>
          <w:bCs/>
          <w:i/>
          <w:iCs/>
          <w:lang w:val="vi-VN"/>
        </w:rPr>
        <w:t>1</w:t>
      </w:r>
      <w:r w:rsidR="00BE5A2E" w:rsidRPr="009D0B29">
        <w:rPr>
          <w:b/>
          <w:bCs/>
          <w:i/>
          <w:iCs/>
          <w:lang w:val="nl-NL"/>
        </w:rPr>
        <w:t>.4. Thời hạn giải quyết</w:t>
      </w:r>
    </w:p>
    <w:p w14:paraId="24AAB631" w14:textId="1D19A149" w:rsidR="00B42558" w:rsidRPr="00B42558" w:rsidRDefault="00B42558" w:rsidP="00B42558">
      <w:pPr>
        <w:spacing w:before="120" w:after="120"/>
        <w:ind w:firstLine="720"/>
        <w:jc w:val="both"/>
        <w:rPr>
          <w:lang w:val="nl-NL"/>
        </w:rPr>
      </w:pPr>
      <w:r w:rsidRPr="00B42558">
        <w:rPr>
          <w:lang w:val="nl-NL"/>
        </w:rPr>
        <w:t>a)</w:t>
      </w:r>
      <w:r w:rsidR="00D95168">
        <w:rPr>
          <w:lang w:val="nl-NL"/>
        </w:rPr>
        <w:t xml:space="preserve"> </w:t>
      </w:r>
      <w:r w:rsidRPr="00B42558">
        <w:rPr>
          <w:lang w:val="nl-NL"/>
        </w:rPr>
        <w:t>Các huyện, quận, thị xã, thành phố thuộc tỉnh, thành phố trực thuộc Trung ương gửi hồ sơ đề nghị đánh giá, công nhận “Cộng đồng học tập” cấp huyện đến Sở Giáo dục và Đào tạo trước ngày 30 tháng 4 của năm sau liền kề năm đánh giá.</w:t>
      </w:r>
    </w:p>
    <w:p w14:paraId="0738A11D" w14:textId="574CE588" w:rsidR="00BE5A2E" w:rsidRPr="00BE5A2E" w:rsidRDefault="00B42558" w:rsidP="00B42558">
      <w:pPr>
        <w:spacing w:before="120" w:after="120"/>
        <w:ind w:firstLine="720"/>
        <w:jc w:val="both"/>
        <w:rPr>
          <w:lang w:val="nl-NL"/>
        </w:rPr>
      </w:pPr>
      <w:r w:rsidRPr="00B42558">
        <w:rPr>
          <w:lang w:val="nl-NL"/>
        </w:rPr>
        <w:t>b)</w:t>
      </w:r>
      <w:r w:rsidR="00BE5F71">
        <w:rPr>
          <w:lang w:val="vi-VN"/>
        </w:rPr>
        <w:t xml:space="preserve"> </w:t>
      </w:r>
      <w:r w:rsidRPr="00B42558">
        <w:rPr>
          <w:lang w:val="nl-NL"/>
        </w:rPr>
        <w:t>Thời gian hoàn thành việc đánh giá, công nhận đơn vị đạt “Cộng đồng học tập” cấp huyện trước ngày 31 tháng 5 của năm sau liền kề năm đánh giá.</w:t>
      </w:r>
    </w:p>
    <w:p w14:paraId="22898DF5" w14:textId="49F355BE" w:rsidR="00BE5A2E" w:rsidRPr="009D0B29" w:rsidRDefault="009D0B29" w:rsidP="00BE5A2E">
      <w:pPr>
        <w:spacing w:before="120" w:after="120"/>
        <w:ind w:firstLine="720"/>
        <w:jc w:val="both"/>
        <w:rPr>
          <w:b/>
          <w:bCs/>
          <w:i/>
          <w:iCs/>
          <w:lang w:val="nl-NL"/>
        </w:rPr>
      </w:pPr>
      <w:r w:rsidRPr="009D0B29">
        <w:rPr>
          <w:b/>
          <w:bCs/>
          <w:i/>
          <w:iCs/>
          <w:lang w:val="vi-VN"/>
        </w:rPr>
        <w:lastRenderedPageBreak/>
        <w:t>1</w:t>
      </w:r>
      <w:r w:rsidR="00BE5A2E" w:rsidRPr="009D0B29">
        <w:rPr>
          <w:b/>
          <w:bCs/>
          <w:i/>
          <w:iCs/>
          <w:lang w:val="nl-NL"/>
        </w:rPr>
        <w:t>.5. Đối tượng thực hiện thủ tục hành chính</w:t>
      </w:r>
    </w:p>
    <w:p w14:paraId="64B5409B" w14:textId="596453AB" w:rsidR="00BE5A2E" w:rsidRPr="00BE5A2E" w:rsidRDefault="00B42558" w:rsidP="001B591F">
      <w:pPr>
        <w:spacing w:before="120" w:after="120"/>
        <w:ind w:firstLine="720"/>
        <w:jc w:val="both"/>
        <w:rPr>
          <w:lang w:val="nl-NL"/>
        </w:rPr>
      </w:pPr>
      <w:r w:rsidRPr="00B42558">
        <w:rPr>
          <w:lang w:val="nl-NL"/>
        </w:rPr>
        <w:t>Các huyện, quận, thị xã, thành phố thuộc tỉnh, thành phố trực thuộc Trung ương.</w:t>
      </w:r>
    </w:p>
    <w:p w14:paraId="187C63BC" w14:textId="5E5A5F72" w:rsidR="00BE5A2E" w:rsidRPr="00BE5A2E" w:rsidRDefault="009D0B29" w:rsidP="00BE5A2E">
      <w:pPr>
        <w:spacing w:before="120" w:after="120"/>
        <w:ind w:firstLine="720"/>
        <w:jc w:val="both"/>
        <w:rPr>
          <w:lang w:val="nl-NL"/>
        </w:rPr>
      </w:pPr>
      <w:r w:rsidRPr="009D0B29">
        <w:rPr>
          <w:b/>
          <w:bCs/>
          <w:i/>
          <w:iCs/>
          <w:lang w:val="vi-VN"/>
        </w:rPr>
        <w:t>1</w:t>
      </w:r>
      <w:r w:rsidR="00BE5A2E" w:rsidRPr="009D0B29">
        <w:rPr>
          <w:b/>
          <w:bCs/>
          <w:i/>
          <w:iCs/>
          <w:lang w:val="nl-NL"/>
        </w:rPr>
        <w:t>.6. Cơ quan thực hiện thủ tục hành chính:</w:t>
      </w:r>
      <w:r w:rsidR="00BE5A2E" w:rsidRPr="00BE5A2E">
        <w:rPr>
          <w:lang w:val="nl-NL"/>
        </w:rPr>
        <w:t xml:space="preserve"> </w:t>
      </w:r>
      <w:r w:rsidR="001B591F">
        <w:rPr>
          <w:lang w:val="vi-VN"/>
        </w:rPr>
        <w:t>Sở Giáo dục và Đào tạo</w:t>
      </w:r>
      <w:r w:rsidR="00BE5A2E" w:rsidRPr="00BE5A2E">
        <w:rPr>
          <w:lang w:val="nl-NL"/>
        </w:rPr>
        <w:t>.</w:t>
      </w:r>
    </w:p>
    <w:p w14:paraId="7C778144" w14:textId="15F2D8DC" w:rsidR="009D0B29" w:rsidRDefault="009D0B29" w:rsidP="00BE5A2E">
      <w:pPr>
        <w:spacing w:before="120" w:after="120"/>
        <w:ind w:firstLine="720"/>
        <w:jc w:val="both"/>
        <w:rPr>
          <w:lang w:val="nl-NL"/>
        </w:rPr>
      </w:pPr>
      <w:r w:rsidRPr="009D0B29">
        <w:rPr>
          <w:b/>
          <w:bCs/>
          <w:i/>
          <w:iCs/>
          <w:lang w:val="vi-VN"/>
        </w:rPr>
        <w:t>1</w:t>
      </w:r>
      <w:r w:rsidR="00BE5A2E" w:rsidRPr="009D0B29">
        <w:rPr>
          <w:b/>
          <w:bCs/>
          <w:i/>
          <w:iCs/>
          <w:lang w:val="nl-NL"/>
        </w:rPr>
        <w:t>.7. Kết quả thực hiện thủ tục hành chính</w:t>
      </w:r>
    </w:p>
    <w:p w14:paraId="770AEC93" w14:textId="26BB3538" w:rsidR="00BE5A2E" w:rsidRPr="00BE5A2E" w:rsidRDefault="00B42558" w:rsidP="00BE5A2E">
      <w:pPr>
        <w:spacing w:before="120" w:after="120"/>
        <w:ind w:firstLine="720"/>
        <w:jc w:val="both"/>
        <w:rPr>
          <w:lang w:val="nl-NL"/>
        </w:rPr>
      </w:pPr>
      <w:r w:rsidRPr="00B42558">
        <w:rPr>
          <w:lang w:val="nl-NL"/>
        </w:rPr>
        <w:t>Quyết định công nhận của Giám đốc Sở Giáo dục và Đào tạo.</w:t>
      </w:r>
    </w:p>
    <w:p w14:paraId="7922B5F7" w14:textId="16F8F4EB" w:rsidR="00BE5A2E" w:rsidRPr="00BE5A2E" w:rsidRDefault="009D0B29" w:rsidP="00BE5A2E">
      <w:pPr>
        <w:spacing w:before="120" w:after="120"/>
        <w:ind w:firstLine="720"/>
        <w:jc w:val="both"/>
        <w:rPr>
          <w:lang w:val="nl-NL"/>
        </w:rPr>
      </w:pPr>
      <w:r w:rsidRPr="009D0B29">
        <w:rPr>
          <w:b/>
          <w:bCs/>
          <w:i/>
          <w:iCs/>
          <w:lang w:val="vi-VN"/>
        </w:rPr>
        <w:t>1</w:t>
      </w:r>
      <w:r w:rsidR="00BE5A2E" w:rsidRPr="009D0B29">
        <w:rPr>
          <w:b/>
          <w:bCs/>
          <w:i/>
          <w:iCs/>
          <w:lang w:val="nl-NL"/>
        </w:rPr>
        <w:t>.8. Phí, lệ phí:</w:t>
      </w:r>
      <w:r w:rsidR="00BE5A2E" w:rsidRPr="00BE5A2E">
        <w:rPr>
          <w:lang w:val="nl-NL"/>
        </w:rPr>
        <w:t xml:space="preserve"> Không.</w:t>
      </w:r>
    </w:p>
    <w:p w14:paraId="43ABBA98" w14:textId="6593FFC2" w:rsidR="00BE5A2E" w:rsidRPr="00BE5A2E" w:rsidRDefault="009D0B29" w:rsidP="00BE5A2E">
      <w:pPr>
        <w:spacing w:before="120" w:after="120"/>
        <w:ind w:firstLine="720"/>
        <w:jc w:val="both"/>
        <w:rPr>
          <w:lang w:val="nl-NL"/>
        </w:rPr>
      </w:pPr>
      <w:r w:rsidRPr="009D0B29">
        <w:rPr>
          <w:b/>
          <w:bCs/>
          <w:i/>
          <w:iCs/>
          <w:lang w:val="vi-VN"/>
        </w:rPr>
        <w:t>1</w:t>
      </w:r>
      <w:r w:rsidR="00BE5A2E" w:rsidRPr="009D0B29">
        <w:rPr>
          <w:b/>
          <w:bCs/>
          <w:i/>
          <w:iCs/>
          <w:lang w:val="nl-NL"/>
        </w:rPr>
        <w:t>.9. Tên mẫu đơn, tờ khai:</w:t>
      </w:r>
      <w:r w:rsidR="00BE5A2E" w:rsidRPr="00BE5A2E">
        <w:rPr>
          <w:lang w:val="nl-NL"/>
        </w:rPr>
        <w:t xml:space="preserve"> </w:t>
      </w:r>
      <w:r w:rsidR="001B591F">
        <w:rPr>
          <w:lang w:val="vi-VN"/>
        </w:rPr>
        <w:t>Không</w:t>
      </w:r>
      <w:r w:rsidR="00BE5A2E" w:rsidRPr="00BE5A2E">
        <w:rPr>
          <w:lang w:val="nl-NL"/>
        </w:rPr>
        <w:t>.</w:t>
      </w:r>
    </w:p>
    <w:p w14:paraId="601A11AB" w14:textId="77777777" w:rsidR="00B42558" w:rsidRPr="00B42558" w:rsidRDefault="009D0B29" w:rsidP="00B42558">
      <w:pPr>
        <w:spacing w:before="120" w:after="120"/>
        <w:ind w:firstLine="720"/>
        <w:jc w:val="both"/>
        <w:rPr>
          <w:lang w:val="vi-VN"/>
        </w:rPr>
      </w:pPr>
      <w:r w:rsidRPr="009D0B29">
        <w:rPr>
          <w:b/>
          <w:bCs/>
          <w:i/>
          <w:iCs/>
          <w:lang w:val="vi-VN"/>
        </w:rPr>
        <w:t>1</w:t>
      </w:r>
      <w:r w:rsidR="00BE5A2E" w:rsidRPr="009D0B29">
        <w:rPr>
          <w:b/>
          <w:bCs/>
          <w:i/>
          <w:iCs/>
          <w:lang w:val="nl-NL"/>
        </w:rPr>
        <w:t>.10. Yêu cầu, điều kiện thực hiện thủ tục hành chính</w:t>
      </w:r>
      <w:r w:rsidR="001B591F">
        <w:rPr>
          <w:b/>
          <w:bCs/>
          <w:i/>
          <w:iCs/>
          <w:lang w:val="vi-VN"/>
        </w:rPr>
        <w:t xml:space="preserve">: </w:t>
      </w:r>
      <w:r w:rsidR="00B42558" w:rsidRPr="00B42558">
        <w:rPr>
          <w:lang w:val="vi-VN"/>
        </w:rPr>
        <w:t>Các huyện, quận, thị xã, thành phố thuộc tỉnh, thành phố trực thuộc Trung ương phải có kết quả tự đánh giá, công nhận và nộp đầy đủ các hồ sơ đúng thời hạn.</w:t>
      </w:r>
    </w:p>
    <w:p w14:paraId="6324A875" w14:textId="424E05EA" w:rsidR="00B42558" w:rsidRPr="00B42558" w:rsidRDefault="00B42558" w:rsidP="00B42558">
      <w:pPr>
        <w:spacing w:before="120" w:after="120"/>
        <w:ind w:firstLine="720"/>
        <w:jc w:val="both"/>
        <w:rPr>
          <w:lang w:val="vi-VN"/>
        </w:rPr>
      </w:pPr>
      <w:r w:rsidRPr="00B42558">
        <w:rPr>
          <w:lang w:val="vi-VN"/>
        </w:rPr>
        <w:t>a)</w:t>
      </w:r>
      <w:r w:rsidR="004F0A2D">
        <w:rPr>
          <w:lang w:val="vi-VN"/>
        </w:rPr>
        <w:t xml:space="preserve"> </w:t>
      </w:r>
      <w:r w:rsidRPr="00B42558">
        <w:rPr>
          <w:lang w:val="vi-VN"/>
        </w:rPr>
        <w:t>Các huyện, quận, thị xã, thành phố thuộc tỉnh, thành phố trực thuộc Trung ương được công nhận đạt “Cộng đồng học tập” cấp huyện mức độ 1 khi đạt đầy đủ các tiêu chí, chỉ tiêu được quy định tại Điều 11 Thông tư số 25/2023/TT-BGDĐT ngày 27 tháng 12 năm 2023 của Bộ trưởng Bộ Giáo dục và Đào tạo quy định về đánh giá, công nhận “Cộng đồng học tập” cấp xã, huyện, tỉnh.</w:t>
      </w:r>
    </w:p>
    <w:p w14:paraId="30F6706B" w14:textId="7C610435" w:rsidR="00BE5A2E" w:rsidRPr="001B591F" w:rsidRDefault="00B42558" w:rsidP="00B42558">
      <w:pPr>
        <w:spacing w:before="120" w:after="120"/>
        <w:ind w:firstLine="720"/>
        <w:jc w:val="both"/>
        <w:rPr>
          <w:lang w:val="vi-VN"/>
        </w:rPr>
      </w:pPr>
      <w:r w:rsidRPr="00B42558">
        <w:rPr>
          <w:lang w:val="vi-VN"/>
        </w:rPr>
        <w:t>b)</w:t>
      </w:r>
      <w:r w:rsidR="004F0A2D">
        <w:rPr>
          <w:lang w:val="vi-VN"/>
        </w:rPr>
        <w:t xml:space="preserve"> </w:t>
      </w:r>
      <w:r w:rsidRPr="00B42558">
        <w:rPr>
          <w:lang w:val="vi-VN"/>
        </w:rPr>
        <w:t>Các huyện, quận, thị xã, thành phố thuộc tỉnh, thành phố trực thuộc Trung ương được công nhận đạt “Cộng đồng học tập” cấp huyện mức độ 2 khi đạt đầy đủ các tiêu chí, chỉ tiêu được quy định tại Điều 12 Thông tư số 25/2023/TT-BGDĐT ngày 27 tháng 12 năm 2023 của Bộ trưởng Bộ Giáo dục và Đào tạo quy định về đánh giá, công nhận “Cộng đồng học tập” cấp xã, huyện, tỉnh.</w:t>
      </w:r>
    </w:p>
    <w:p w14:paraId="79438B10" w14:textId="2B7D5552" w:rsidR="00BE5A2E" w:rsidRPr="009D0B29" w:rsidRDefault="009D0B29" w:rsidP="00BE5A2E">
      <w:pPr>
        <w:spacing w:before="120" w:after="120"/>
        <w:ind w:firstLine="720"/>
        <w:jc w:val="both"/>
        <w:rPr>
          <w:b/>
          <w:bCs/>
          <w:i/>
          <w:iCs/>
          <w:lang w:val="nl-NL"/>
        </w:rPr>
      </w:pPr>
      <w:r w:rsidRPr="009D0B29">
        <w:rPr>
          <w:b/>
          <w:bCs/>
          <w:i/>
          <w:iCs/>
          <w:lang w:val="vi-VN"/>
        </w:rPr>
        <w:t>1</w:t>
      </w:r>
      <w:r w:rsidR="00BE5A2E" w:rsidRPr="009D0B29">
        <w:rPr>
          <w:b/>
          <w:bCs/>
          <w:i/>
          <w:iCs/>
          <w:lang w:val="nl-NL"/>
        </w:rPr>
        <w:t>.11. Căn cứ pháp lý của thủ tục hành chính</w:t>
      </w:r>
    </w:p>
    <w:p w14:paraId="0BF7BFE1" w14:textId="5F41B7CD" w:rsidR="009D0B29" w:rsidRPr="009D0B29" w:rsidRDefault="00B42558" w:rsidP="009D0B29">
      <w:pPr>
        <w:spacing w:before="120" w:after="120"/>
        <w:ind w:firstLine="720"/>
        <w:jc w:val="both"/>
        <w:rPr>
          <w:lang w:val="vi-VN"/>
        </w:rPr>
      </w:pPr>
      <w:r w:rsidRPr="00B42558">
        <w:rPr>
          <w:lang w:val="vi-VN"/>
        </w:rPr>
        <w:t>Thông tư số 25/2023/TT-BGDĐT ngày 27 tháng 12 năm 2023 của Bộ trưởng Bộ Giáo dục và Đào tạo quy định về đánh giá, cồng nhận “Cộng đồng học tập” cấp xã, huyện, tỉnh</w:t>
      </w:r>
      <w:r w:rsidR="009D0B29">
        <w:rPr>
          <w:lang w:val="vi-VN"/>
        </w:rPr>
        <w:t>.</w:t>
      </w:r>
      <w:r w:rsidR="00DE4BFC">
        <w:rPr>
          <w:lang w:val="vi-VN"/>
        </w:rPr>
        <w:t>/.</w:t>
      </w:r>
    </w:p>
    <w:bookmarkEnd w:id="1"/>
    <w:p w14:paraId="68F55805" w14:textId="77777777" w:rsidR="00D72147" w:rsidRPr="00DC3F7D" w:rsidRDefault="00D72147" w:rsidP="009A572D">
      <w:pPr>
        <w:spacing w:before="120" w:after="120"/>
        <w:ind w:firstLine="720"/>
        <w:jc w:val="both"/>
        <w:rPr>
          <w:iCs/>
          <w:lang w:val="nl-NL"/>
        </w:rPr>
      </w:pPr>
    </w:p>
    <w:sectPr w:rsidR="00D72147" w:rsidRPr="00DC3F7D" w:rsidSect="00B00B75">
      <w:pgSz w:w="11907" w:h="16840" w:code="9"/>
      <w:pgMar w:top="1134" w:right="851"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2D42" w14:textId="77777777" w:rsidR="000D7FBE" w:rsidRDefault="000D7FBE" w:rsidP="00E81277">
      <w:r>
        <w:separator/>
      </w:r>
    </w:p>
  </w:endnote>
  <w:endnote w:type="continuationSeparator" w:id="0">
    <w:p w14:paraId="3A4E3227" w14:textId="77777777" w:rsidR="000D7FBE" w:rsidRDefault="000D7FBE"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6519" w14:textId="77777777" w:rsidR="004477EB" w:rsidRDefault="004477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E805" w14:textId="49CB13C9" w:rsidR="00541F58" w:rsidRDefault="00541F58" w:rsidP="00A248D5">
    <w:pPr>
      <w:pStyle w:val="Footer"/>
      <w:tabs>
        <w:tab w:val="clear" w:pos="4680"/>
        <w:tab w:val="clear" w:pos="9360"/>
        <w:tab w:val="left" w:pos="2085"/>
        <w:tab w:val="left" w:pos="3840"/>
        <w:tab w:val="left" w:pos="577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9965" w14:textId="77777777" w:rsidR="004477EB" w:rsidRDefault="004477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3883" w14:textId="77777777" w:rsidR="000D7FBE" w:rsidRDefault="000D7FBE" w:rsidP="00E81277">
      <w:r>
        <w:separator/>
      </w:r>
    </w:p>
  </w:footnote>
  <w:footnote w:type="continuationSeparator" w:id="0">
    <w:p w14:paraId="45C211CA" w14:textId="77777777" w:rsidR="000D7FBE" w:rsidRDefault="000D7FBE" w:rsidP="00E81277">
      <w:r>
        <w:continuationSeparator/>
      </w:r>
    </w:p>
  </w:footnote>
  <w:footnote w:id="1">
    <w:p w14:paraId="44139527" w14:textId="77777777" w:rsidR="00541F58" w:rsidRPr="00C82905" w:rsidRDefault="00541F58" w:rsidP="007A6A71">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5B70" w14:textId="77777777" w:rsidR="004477EB" w:rsidRDefault="004477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959541"/>
      <w:docPartObj>
        <w:docPartGallery w:val="Page Numbers (Top of Page)"/>
        <w:docPartUnique/>
      </w:docPartObj>
    </w:sdtPr>
    <w:sdtEndPr>
      <w:rPr>
        <w:noProof/>
      </w:rPr>
    </w:sdtEndPr>
    <w:sdtContent>
      <w:p w14:paraId="74C89ABF" w14:textId="59CB06A3" w:rsidR="00541F58" w:rsidRDefault="00541F58">
        <w:pPr>
          <w:pStyle w:val="Header"/>
          <w:jc w:val="center"/>
        </w:pPr>
        <w:r>
          <w:fldChar w:fldCharType="begin"/>
        </w:r>
        <w:r>
          <w:instrText xml:space="preserve"> PAGE   \* MERGEFORMAT </w:instrText>
        </w:r>
        <w:r>
          <w:fldChar w:fldCharType="separate"/>
        </w:r>
        <w:r w:rsidR="00204FAB">
          <w:rPr>
            <w:noProof/>
          </w:rPr>
          <w:t>2</w:t>
        </w:r>
        <w:r>
          <w:rPr>
            <w:noProof/>
          </w:rPr>
          <w:fldChar w:fldCharType="end"/>
        </w:r>
      </w:p>
    </w:sdtContent>
  </w:sdt>
  <w:p w14:paraId="220BC3F2" w14:textId="77777777" w:rsidR="00541F58" w:rsidRDefault="00541F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A82B" w14:textId="77777777" w:rsidR="00BE5A2E" w:rsidRPr="004477EB" w:rsidRDefault="00BE5A2E" w:rsidP="00447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CF"/>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224F1"/>
    <w:multiLevelType w:val="hybridMultilevel"/>
    <w:tmpl w:val="1520F020"/>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5CC762A"/>
    <w:multiLevelType w:val="hybridMultilevel"/>
    <w:tmpl w:val="5CAA5D90"/>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6D12F0E"/>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4C98"/>
    <w:multiLevelType w:val="hybridMultilevel"/>
    <w:tmpl w:val="E5D0F654"/>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7F92604"/>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E6E9E"/>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32E6B"/>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96106"/>
    <w:multiLevelType w:val="hybridMultilevel"/>
    <w:tmpl w:val="E5D0F654"/>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7F581FDF"/>
    <w:multiLevelType w:val="hybridMultilevel"/>
    <w:tmpl w:val="E1CC06F2"/>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3"/>
    <w:rsid w:val="00010FD6"/>
    <w:rsid w:val="0001543D"/>
    <w:rsid w:val="00017F42"/>
    <w:rsid w:val="00033752"/>
    <w:rsid w:val="00040D79"/>
    <w:rsid w:val="00043911"/>
    <w:rsid w:val="00046E29"/>
    <w:rsid w:val="000511D4"/>
    <w:rsid w:val="0005605F"/>
    <w:rsid w:val="000656D0"/>
    <w:rsid w:val="00070057"/>
    <w:rsid w:val="00072793"/>
    <w:rsid w:val="000A4643"/>
    <w:rsid w:val="000B1578"/>
    <w:rsid w:val="000B52BF"/>
    <w:rsid w:val="000C00A2"/>
    <w:rsid w:val="000C0D11"/>
    <w:rsid w:val="000C58CC"/>
    <w:rsid w:val="000D353A"/>
    <w:rsid w:val="000D661B"/>
    <w:rsid w:val="000D7FBE"/>
    <w:rsid w:val="000E0AB9"/>
    <w:rsid w:val="000E2BF6"/>
    <w:rsid w:val="000F324A"/>
    <w:rsid w:val="001047CA"/>
    <w:rsid w:val="00110C28"/>
    <w:rsid w:val="00112B7C"/>
    <w:rsid w:val="001151EA"/>
    <w:rsid w:val="001224A3"/>
    <w:rsid w:val="001230DF"/>
    <w:rsid w:val="00124155"/>
    <w:rsid w:val="00124CAC"/>
    <w:rsid w:val="00131D7F"/>
    <w:rsid w:val="00143B7B"/>
    <w:rsid w:val="001470F0"/>
    <w:rsid w:val="00154ED8"/>
    <w:rsid w:val="00155A8A"/>
    <w:rsid w:val="001579CD"/>
    <w:rsid w:val="001609E7"/>
    <w:rsid w:val="00170B11"/>
    <w:rsid w:val="00182DCD"/>
    <w:rsid w:val="001A2FD0"/>
    <w:rsid w:val="001A3ADC"/>
    <w:rsid w:val="001B4D35"/>
    <w:rsid w:val="001B591F"/>
    <w:rsid w:val="001E1723"/>
    <w:rsid w:val="001E1FC1"/>
    <w:rsid w:val="001F53DF"/>
    <w:rsid w:val="00204FAB"/>
    <w:rsid w:val="0021023D"/>
    <w:rsid w:val="00220828"/>
    <w:rsid w:val="00231541"/>
    <w:rsid w:val="00234B6D"/>
    <w:rsid w:val="002365B0"/>
    <w:rsid w:val="00240170"/>
    <w:rsid w:val="002622B7"/>
    <w:rsid w:val="00263D40"/>
    <w:rsid w:val="0026647C"/>
    <w:rsid w:val="00266BA9"/>
    <w:rsid w:val="00267C47"/>
    <w:rsid w:val="00282A9B"/>
    <w:rsid w:val="00282CD1"/>
    <w:rsid w:val="00284ED6"/>
    <w:rsid w:val="002862D1"/>
    <w:rsid w:val="002A61F8"/>
    <w:rsid w:val="002C1061"/>
    <w:rsid w:val="002C374B"/>
    <w:rsid w:val="002C4ED2"/>
    <w:rsid w:val="002C713B"/>
    <w:rsid w:val="002D1BEA"/>
    <w:rsid w:val="002D336E"/>
    <w:rsid w:val="002D698D"/>
    <w:rsid w:val="002D7F22"/>
    <w:rsid w:val="002E274D"/>
    <w:rsid w:val="002E2A76"/>
    <w:rsid w:val="002E4D60"/>
    <w:rsid w:val="002F04C8"/>
    <w:rsid w:val="002F5A98"/>
    <w:rsid w:val="0032212B"/>
    <w:rsid w:val="00332DDD"/>
    <w:rsid w:val="003423DA"/>
    <w:rsid w:val="003504E3"/>
    <w:rsid w:val="00363753"/>
    <w:rsid w:val="00363BA1"/>
    <w:rsid w:val="00365305"/>
    <w:rsid w:val="00367464"/>
    <w:rsid w:val="0038463A"/>
    <w:rsid w:val="003874B6"/>
    <w:rsid w:val="00395601"/>
    <w:rsid w:val="003B334A"/>
    <w:rsid w:val="003C01A4"/>
    <w:rsid w:val="003D365A"/>
    <w:rsid w:val="003D622E"/>
    <w:rsid w:val="003E4A3F"/>
    <w:rsid w:val="003F0B07"/>
    <w:rsid w:val="003F0E6D"/>
    <w:rsid w:val="00411456"/>
    <w:rsid w:val="0041273F"/>
    <w:rsid w:val="00422354"/>
    <w:rsid w:val="00436F04"/>
    <w:rsid w:val="00443131"/>
    <w:rsid w:val="00446370"/>
    <w:rsid w:val="0044653A"/>
    <w:rsid w:val="004477EB"/>
    <w:rsid w:val="00476DF3"/>
    <w:rsid w:val="004855E9"/>
    <w:rsid w:val="004A2576"/>
    <w:rsid w:val="004A28C7"/>
    <w:rsid w:val="004A3B4C"/>
    <w:rsid w:val="004A45F4"/>
    <w:rsid w:val="004A5A32"/>
    <w:rsid w:val="004C0184"/>
    <w:rsid w:val="004D4845"/>
    <w:rsid w:val="004E103C"/>
    <w:rsid w:val="004E43C7"/>
    <w:rsid w:val="004F0A2D"/>
    <w:rsid w:val="004F2C9F"/>
    <w:rsid w:val="00501D90"/>
    <w:rsid w:val="00505096"/>
    <w:rsid w:val="00506E4B"/>
    <w:rsid w:val="005070AC"/>
    <w:rsid w:val="00516AB6"/>
    <w:rsid w:val="00527E82"/>
    <w:rsid w:val="005308E1"/>
    <w:rsid w:val="00532742"/>
    <w:rsid w:val="00533F5B"/>
    <w:rsid w:val="0053457B"/>
    <w:rsid w:val="00541F58"/>
    <w:rsid w:val="00553738"/>
    <w:rsid w:val="00560116"/>
    <w:rsid w:val="00561487"/>
    <w:rsid w:val="00562584"/>
    <w:rsid w:val="00573ADB"/>
    <w:rsid w:val="00574EB6"/>
    <w:rsid w:val="00581623"/>
    <w:rsid w:val="00582B1C"/>
    <w:rsid w:val="005844AB"/>
    <w:rsid w:val="0058475F"/>
    <w:rsid w:val="00587487"/>
    <w:rsid w:val="005947E9"/>
    <w:rsid w:val="005A2D77"/>
    <w:rsid w:val="005A5F85"/>
    <w:rsid w:val="005A6075"/>
    <w:rsid w:val="005A60FE"/>
    <w:rsid w:val="005B415F"/>
    <w:rsid w:val="005B52BC"/>
    <w:rsid w:val="005C7598"/>
    <w:rsid w:val="005D27EC"/>
    <w:rsid w:val="005D5EED"/>
    <w:rsid w:val="005F19A8"/>
    <w:rsid w:val="005F3153"/>
    <w:rsid w:val="006532C9"/>
    <w:rsid w:val="006571E8"/>
    <w:rsid w:val="0067261D"/>
    <w:rsid w:val="00677D2B"/>
    <w:rsid w:val="00682DA4"/>
    <w:rsid w:val="00683DC1"/>
    <w:rsid w:val="0068577E"/>
    <w:rsid w:val="00687F06"/>
    <w:rsid w:val="00691ABA"/>
    <w:rsid w:val="00693896"/>
    <w:rsid w:val="006A11DC"/>
    <w:rsid w:val="006A18D0"/>
    <w:rsid w:val="006A21E2"/>
    <w:rsid w:val="006A401D"/>
    <w:rsid w:val="006A526C"/>
    <w:rsid w:val="006A5607"/>
    <w:rsid w:val="006A5655"/>
    <w:rsid w:val="006D1A99"/>
    <w:rsid w:val="006E2419"/>
    <w:rsid w:val="006F4674"/>
    <w:rsid w:val="00701A75"/>
    <w:rsid w:val="00722D3D"/>
    <w:rsid w:val="007260BE"/>
    <w:rsid w:val="00730068"/>
    <w:rsid w:val="007377A8"/>
    <w:rsid w:val="00761900"/>
    <w:rsid w:val="007624D6"/>
    <w:rsid w:val="007635DD"/>
    <w:rsid w:val="00763862"/>
    <w:rsid w:val="0076473C"/>
    <w:rsid w:val="0078499A"/>
    <w:rsid w:val="00790532"/>
    <w:rsid w:val="007A4DB2"/>
    <w:rsid w:val="007A54C2"/>
    <w:rsid w:val="007A6A71"/>
    <w:rsid w:val="007B4960"/>
    <w:rsid w:val="007B69BF"/>
    <w:rsid w:val="007C681C"/>
    <w:rsid w:val="008067E9"/>
    <w:rsid w:val="00833C15"/>
    <w:rsid w:val="008361D6"/>
    <w:rsid w:val="00842B41"/>
    <w:rsid w:val="008431CD"/>
    <w:rsid w:val="00853ABA"/>
    <w:rsid w:val="00855E1B"/>
    <w:rsid w:val="00860011"/>
    <w:rsid w:val="00860933"/>
    <w:rsid w:val="00861DC9"/>
    <w:rsid w:val="008656A7"/>
    <w:rsid w:val="008724E5"/>
    <w:rsid w:val="00875ED9"/>
    <w:rsid w:val="00884C0C"/>
    <w:rsid w:val="008918C6"/>
    <w:rsid w:val="0089263D"/>
    <w:rsid w:val="00895386"/>
    <w:rsid w:val="008A3277"/>
    <w:rsid w:val="008A722F"/>
    <w:rsid w:val="008C192B"/>
    <w:rsid w:val="008C2D16"/>
    <w:rsid w:val="008C7F14"/>
    <w:rsid w:val="008D01A2"/>
    <w:rsid w:val="008D254B"/>
    <w:rsid w:val="008D7D9E"/>
    <w:rsid w:val="008F2CC1"/>
    <w:rsid w:val="008F6545"/>
    <w:rsid w:val="00902703"/>
    <w:rsid w:val="00921906"/>
    <w:rsid w:val="00923BDF"/>
    <w:rsid w:val="00926E43"/>
    <w:rsid w:val="009304DF"/>
    <w:rsid w:val="00940A3D"/>
    <w:rsid w:val="009435E1"/>
    <w:rsid w:val="0095102B"/>
    <w:rsid w:val="009533A1"/>
    <w:rsid w:val="00956281"/>
    <w:rsid w:val="009613A6"/>
    <w:rsid w:val="00963295"/>
    <w:rsid w:val="009668AE"/>
    <w:rsid w:val="0096794D"/>
    <w:rsid w:val="00971C8C"/>
    <w:rsid w:val="00980E6C"/>
    <w:rsid w:val="009916FC"/>
    <w:rsid w:val="00993985"/>
    <w:rsid w:val="009959B6"/>
    <w:rsid w:val="00995BD5"/>
    <w:rsid w:val="009A2912"/>
    <w:rsid w:val="009A572D"/>
    <w:rsid w:val="009C2FA1"/>
    <w:rsid w:val="009C6A4B"/>
    <w:rsid w:val="009D0B29"/>
    <w:rsid w:val="009E24DE"/>
    <w:rsid w:val="009F3CB1"/>
    <w:rsid w:val="009F5575"/>
    <w:rsid w:val="00A013DE"/>
    <w:rsid w:val="00A04A6D"/>
    <w:rsid w:val="00A20395"/>
    <w:rsid w:val="00A248D5"/>
    <w:rsid w:val="00A31155"/>
    <w:rsid w:val="00A334F2"/>
    <w:rsid w:val="00A44B38"/>
    <w:rsid w:val="00A454C5"/>
    <w:rsid w:val="00A509DE"/>
    <w:rsid w:val="00A522DB"/>
    <w:rsid w:val="00A52CAC"/>
    <w:rsid w:val="00A619CF"/>
    <w:rsid w:val="00A63952"/>
    <w:rsid w:val="00A70968"/>
    <w:rsid w:val="00A71242"/>
    <w:rsid w:val="00A7370B"/>
    <w:rsid w:val="00A76763"/>
    <w:rsid w:val="00A849E7"/>
    <w:rsid w:val="00A91A60"/>
    <w:rsid w:val="00AA05DB"/>
    <w:rsid w:val="00AC0A20"/>
    <w:rsid w:val="00AC426B"/>
    <w:rsid w:val="00AD4BF3"/>
    <w:rsid w:val="00AE0CB3"/>
    <w:rsid w:val="00AF20A9"/>
    <w:rsid w:val="00AF2DC0"/>
    <w:rsid w:val="00B00B75"/>
    <w:rsid w:val="00B10F00"/>
    <w:rsid w:val="00B24973"/>
    <w:rsid w:val="00B331D5"/>
    <w:rsid w:val="00B35FC5"/>
    <w:rsid w:val="00B4029A"/>
    <w:rsid w:val="00B42558"/>
    <w:rsid w:val="00B67D27"/>
    <w:rsid w:val="00B81EAF"/>
    <w:rsid w:val="00B84034"/>
    <w:rsid w:val="00B84F7B"/>
    <w:rsid w:val="00B85933"/>
    <w:rsid w:val="00BA6374"/>
    <w:rsid w:val="00BB4FBA"/>
    <w:rsid w:val="00BD6EF3"/>
    <w:rsid w:val="00BE05B7"/>
    <w:rsid w:val="00BE572C"/>
    <w:rsid w:val="00BE5A2E"/>
    <w:rsid w:val="00BE5F71"/>
    <w:rsid w:val="00BE634B"/>
    <w:rsid w:val="00BE6FFB"/>
    <w:rsid w:val="00BF5DC2"/>
    <w:rsid w:val="00C13335"/>
    <w:rsid w:val="00C16BB2"/>
    <w:rsid w:val="00C24EE8"/>
    <w:rsid w:val="00C262AA"/>
    <w:rsid w:val="00C41E80"/>
    <w:rsid w:val="00C661FA"/>
    <w:rsid w:val="00C73D2D"/>
    <w:rsid w:val="00C742C4"/>
    <w:rsid w:val="00C8318D"/>
    <w:rsid w:val="00C8319A"/>
    <w:rsid w:val="00C85EA7"/>
    <w:rsid w:val="00CA47A2"/>
    <w:rsid w:val="00CB3082"/>
    <w:rsid w:val="00CD3B6E"/>
    <w:rsid w:val="00CD58F0"/>
    <w:rsid w:val="00CF4F66"/>
    <w:rsid w:val="00D03ABC"/>
    <w:rsid w:val="00D245F0"/>
    <w:rsid w:val="00D24A10"/>
    <w:rsid w:val="00D3050A"/>
    <w:rsid w:val="00D342D3"/>
    <w:rsid w:val="00D34448"/>
    <w:rsid w:val="00D42CAF"/>
    <w:rsid w:val="00D43209"/>
    <w:rsid w:val="00D45B5F"/>
    <w:rsid w:val="00D532D8"/>
    <w:rsid w:val="00D622FF"/>
    <w:rsid w:val="00D677F7"/>
    <w:rsid w:val="00D72147"/>
    <w:rsid w:val="00D7314D"/>
    <w:rsid w:val="00D75F5F"/>
    <w:rsid w:val="00D76EFC"/>
    <w:rsid w:val="00D91209"/>
    <w:rsid w:val="00D95168"/>
    <w:rsid w:val="00D965FD"/>
    <w:rsid w:val="00DA5309"/>
    <w:rsid w:val="00DB70CA"/>
    <w:rsid w:val="00DC1E9A"/>
    <w:rsid w:val="00DC3F7D"/>
    <w:rsid w:val="00DD111B"/>
    <w:rsid w:val="00DD15C0"/>
    <w:rsid w:val="00DD7BE2"/>
    <w:rsid w:val="00DE4BFC"/>
    <w:rsid w:val="00DE741A"/>
    <w:rsid w:val="00DF3CD6"/>
    <w:rsid w:val="00E0239E"/>
    <w:rsid w:val="00E12252"/>
    <w:rsid w:val="00E22A42"/>
    <w:rsid w:val="00E22D40"/>
    <w:rsid w:val="00E27F9B"/>
    <w:rsid w:val="00E431BF"/>
    <w:rsid w:val="00E51D82"/>
    <w:rsid w:val="00E64056"/>
    <w:rsid w:val="00E718AD"/>
    <w:rsid w:val="00E75265"/>
    <w:rsid w:val="00E81277"/>
    <w:rsid w:val="00EA3274"/>
    <w:rsid w:val="00EA7AE2"/>
    <w:rsid w:val="00EC1614"/>
    <w:rsid w:val="00EC2454"/>
    <w:rsid w:val="00EC3F4A"/>
    <w:rsid w:val="00ED265F"/>
    <w:rsid w:val="00ED2B14"/>
    <w:rsid w:val="00ED4032"/>
    <w:rsid w:val="00ED7979"/>
    <w:rsid w:val="00F01557"/>
    <w:rsid w:val="00F01922"/>
    <w:rsid w:val="00F042BA"/>
    <w:rsid w:val="00F0789C"/>
    <w:rsid w:val="00F15A99"/>
    <w:rsid w:val="00F40C4F"/>
    <w:rsid w:val="00F420FA"/>
    <w:rsid w:val="00F4217D"/>
    <w:rsid w:val="00F438C5"/>
    <w:rsid w:val="00F50A23"/>
    <w:rsid w:val="00F625E6"/>
    <w:rsid w:val="00F63A8A"/>
    <w:rsid w:val="00F63F45"/>
    <w:rsid w:val="00F67FD7"/>
    <w:rsid w:val="00F71056"/>
    <w:rsid w:val="00F717F4"/>
    <w:rsid w:val="00F72364"/>
    <w:rsid w:val="00F725AA"/>
    <w:rsid w:val="00FA0872"/>
    <w:rsid w:val="00FA588B"/>
    <w:rsid w:val="00FA5AAD"/>
    <w:rsid w:val="00FB075E"/>
    <w:rsid w:val="00FB1B7D"/>
    <w:rsid w:val="00FB5A1C"/>
    <w:rsid w:val="00FC3F2E"/>
    <w:rsid w:val="00FD1EF3"/>
    <w:rsid w:val="00FD667E"/>
    <w:rsid w:val="00FE242C"/>
    <w:rsid w:val="00FE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7EBC6611-49AA-46A8-8745-CE13998E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nhideWhenUsed/>
    <w:rsid w:val="00E81277"/>
    <w:pPr>
      <w:tabs>
        <w:tab w:val="center" w:pos="4680"/>
        <w:tab w:val="right" w:pos="9360"/>
      </w:tabs>
    </w:pPr>
  </w:style>
  <w:style w:type="character" w:customStyle="1" w:styleId="FooterChar">
    <w:name w:val="Footer Char"/>
    <w:basedOn w:val="DefaultParagraphFont"/>
    <w:link w:val="Footer"/>
    <w:rsid w:val="00E81277"/>
  </w:style>
  <w:style w:type="paragraph" w:styleId="NormalWeb">
    <w:name w:val="Normal (Web)"/>
    <w:aliases w:val="Normal (Web) Char"/>
    <w:basedOn w:val="Normal"/>
    <w:link w:val="NormalWebChar1"/>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26E43"/>
    <w:rPr>
      <w:rFonts w:eastAsia="Calibri"/>
      <w:kern w:val="1"/>
      <w:sz w:val="24"/>
      <w:szCs w:val="24"/>
      <w:lang w:eastAsia="hi-IN" w:bidi="hi-IN"/>
    </w:rPr>
  </w:style>
  <w:style w:type="character" w:styleId="Strong">
    <w:name w:val="Strong"/>
    <w:uiPriority w:val="99"/>
    <w:qFormat/>
    <w:rsid w:val="00926E43"/>
    <w:rPr>
      <w:b/>
    </w:rPr>
  </w:style>
  <w:style w:type="paragraph" w:styleId="FootnoteText">
    <w:name w:val="footnote text"/>
    <w:basedOn w:val="Normal"/>
    <w:link w:val="FootnoteTextChar"/>
    <w:uiPriority w:val="99"/>
    <w:semiHidden/>
    <w:unhideWhenUsed/>
    <w:rsid w:val="000D353A"/>
    <w:rPr>
      <w:rFonts w:cstheme="minorBidi"/>
      <w:sz w:val="20"/>
      <w:szCs w:val="20"/>
    </w:rPr>
  </w:style>
  <w:style w:type="character" w:customStyle="1" w:styleId="FootnoteTextChar">
    <w:name w:val="Footnote Text Char"/>
    <w:basedOn w:val="DefaultParagraphFont"/>
    <w:link w:val="FootnoteText"/>
    <w:uiPriority w:val="99"/>
    <w:semiHidden/>
    <w:rsid w:val="000D353A"/>
    <w:rPr>
      <w:rFonts w:cstheme="minorBidi"/>
      <w:sz w:val="20"/>
      <w:szCs w:val="20"/>
    </w:rPr>
  </w:style>
  <w:style w:type="character" w:styleId="FootnoteReference">
    <w:name w:val="footnote reference"/>
    <w:basedOn w:val="DefaultParagraphFont"/>
    <w:uiPriority w:val="99"/>
    <w:semiHidden/>
    <w:unhideWhenUsed/>
    <w:rsid w:val="000D353A"/>
    <w:rPr>
      <w:vertAlign w:val="superscript"/>
    </w:rPr>
  </w:style>
  <w:style w:type="paragraph" w:styleId="ListParagraph">
    <w:name w:val="List Paragraph"/>
    <w:basedOn w:val="Normal"/>
    <w:uiPriority w:val="34"/>
    <w:qFormat/>
    <w:rsid w:val="000D353A"/>
    <w:pPr>
      <w:spacing w:line="259" w:lineRule="auto"/>
      <w:ind w:left="720"/>
      <w:contextualSpacing/>
    </w:pPr>
    <w:rPr>
      <w:rFonts w:cstheme="minorBidi"/>
    </w:rPr>
  </w:style>
  <w:style w:type="paragraph" w:styleId="BalloonText">
    <w:name w:val="Balloon Text"/>
    <w:basedOn w:val="Normal"/>
    <w:link w:val="BalloonTextChar"/>
    <w:uiPriority w:val="99"/>
    <w:semiHidden/>
    <w:unhideWhenUsed/>
    <w:rsid w:val="00865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A7"/>
    <w:rPr>
      <w:rFonts w:ascii="Segoe UI" w:hAnsi="Segoe UI" w:cs="Segoe UI"/>
      <w:sz w:val="18"/>
      <w:szCs w:val="18"/>
    </w:rPr>
  </w:style>
  <w:style w:type="paragraph" w:styleId="BodyText">
    <w:name w:val="Body Text"/>
    <w:basedOn w:val="Normal"/>
    <w:link w:val="BodyTextChar"/>
    <w:uiPriority w:val="99"/>
    <w:semiHidden/>
    <w:unhideWhenUsed/>
    <w:rsid w:val="00A63952"/>
    <w:pPr>
      <w:spacing w:after="120"/>
    </w:pPr>
  </w:style>
  <w:style w:type="character" w:customStyle="1" w:styleId="BodyTextChar">
    <w:name w:val="Body Text Char"/>
    <w:basedOn w:val="DefaultParagraphFont"/>
    <w:link w:val="BodyText"/>
    <w:uiPriority w:val="99"/>
    <w:semiHidden/>
    <w:rsid w:val="00A63952"/>
  </w:style>
  <w:style w:type="character" w:customStyle="1" w:styleId="BodyTextChar1">
    <w:name w:val="Body Text Char1"/>
    <w:uiPriority w:val="99"/>
    <w:rsid w:val="00A63952"/>
    <w:rPr>
      <w:rFonts w:ascii="Times New Roman" w:hAnsi="Times New Roman"/>
      <w:sz w:val="26"/>
      <w:szCs w:val="26"/>
      <w:shd w:val="clear" w:color="auto" w:fill="FFFFFF"/>
    </w:rPr>
  </w:style>
  <w:style w:type="character" w:customStyle="1" w:styleId="Tablecaption">
    <w:name w:val="Table caption_"/>
    <w:link w:val="Tablecaption0"/>
    <w:uiPriority w:val="99"/>
    <w:rsid w:val="00A63952"/>
    <w:rPr>
      <w:sz w:val="26"/>
      <w:szCs w:val="26"/>
      <w:shd w:val="clear" w:color="auto" w:fill="FFFFFF"/>
    </w:rPr>
  </w:style>
  <w:style w:type="character" w:customStyle="1" w:styleId="Other">
    <w:name w:val="Other_"/>
    <w:link w:val="Other0"/>
    <w:uiPriority w:val="99"/>
    <w:rsid w:val="00A63952"/>
    <w:rPr>
      <w:sz w:val="26"/>
      <w:szCs w:val="26"/>
      <w:shd w:val="clear" w:color="auto" w:fill="FFFFFF"/>
    </w:rPr>
  </w:style>
  <w:style w:type="paragraph" w:customStyle="1" w:styleId="Tablecaption0">
    <w:name w:val="Table caption"/>
    <w:basedOn w:val="Normal"/>
    <w:link w:val="Tablecaption"/>
    <w:uiPriority w:val="99"/>
    <w:rsid w:val="00A63952"/>
    <w:pPr>
      <w:widowControl w:val="0"/>
      <w:shd w:val="clear" w:color="auto" w:fill="FFFFFF"/>
    </w:pPr>
    <w:rPr>
      <w:sz w:val="26"/>
      <w:szCs w:val="26"/>
    </w:rPr>
  </w:style>
  <w:style w:type="paragraph" w:customStyle="1" w:styleId="Other0">
    <w:name w:val="Other"/>
    <w:basedOn w:val="Normal"/>
    <w:link w:val="Other"/>
    <w:uiPriority w:val="99"/>
    <w:rsid w:val="00A63952"/>
    <w:pPr>
      <w:widowControl w:val="0"/>
      <w:shd w:val="clear" w:color="auto" w:fill="FFFFFF"/>
      <w:spacing w:after="220" w:line="259" w:lineRule="auto"/>
      <w:ind w:firstLine="400"/>
    </w:pPr>
    <w:rPr>
      <w:sz w:val="26"/>
      <w:szCs w:val="26"/>
    </w:rPr>
  </w:style>
  <w:style w:type="character" w:customStyle="1" w:styleId="NormalWebChar1">
    <w:name w:val="Normal (Web) Char1"/>
    <w:aliases w:val="Normal (Web) Char Char"/>
    <w:link w:val="NormalWeb"/>
    <w:uiPriority w:val="99"/>
    <w:locked/>
    <w:rsid w:val="00527E82"/>
    <w:rPr>
      <w:rFonts w:eastAsia="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2677C32C6FA468F74A81E861D89F4" ma:contentTypeVersion="13" ma:contentTypeDescription="Create a new document." ma:contentTypeScope="" ma:versionID="6f0402436e6cf6f14c32035574146849">
  <xsd:schema xmlns:xsd="http://www.w3.org/2001/XMLSchema" xmlns:xs="http://www.w3.org/2001/XMLSchema" xmlns:p="http://schemas.microsoft.com/office/2006/metadata/properties" xmlns:ns3="5afb1e13-cc02-406c-ad75-5e5882de2194" xmlns:ns4="a551d7ce-afd7-488d-9de9-42fa9223c6d2" targetNamespace="http://schemas.microsoft.com/office/2006/metadata/properties" ma:root="true" ma:fieldsID="ba86afeae3630a23d16054498d7528c6" ns3:_="" ns4:_="">
    <xsd:import namespace="5afb1e13-cc02-406c-ad75-5e5882de2194"/>
    <xsd:import namespace="a551d7ce-afd7-488d-9de9-42fa9223c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1e13-cc02-406c-ad75-5e5882de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1d7ce-afd7-488d-9de9-42fa9223c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FADD-2593-47CF-B259-1F6BB052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1e13-cc02-406c-ad75-5e5882de2194"/>
    <ds:schemaRef ds:uri="a551d7ce-afd7-488d-9de9-42fa922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24459-C76A-48EC-9BB1-B3FB9DD28BC1}">
  <ds:schemaRefs>
    <ds:schemaRef ds:uri="http://schemas.microsoft.com/sharepoint/v3/contenttype/forms"/>
  </ds:schemaRefs>
</ds:datastoreItem>
</file>

<file path=customXml/itemProps3.xml><?xml version="1.0" encoding="utf-8"?>
<ds:datastoreItem xmlns:ds="http://schemas.openxmlformats.org/officeDocument/2006/customXml" ds:itemID="{FB9EC80C-077E-4EBE-AA66-BC6B653AAF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69418-2171-4C35-B183-FDBCAEA4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Hung</dc:creator>
  <cp:keywords/>
  <dc:description/>
  <cp:lastModifiedBy>Admin</cp:lastModifiedBy>
  <cp:revision>77</cp:revision>
  <cp:lastPrinted>2021-03-05T09:58:00Z</cp:lastPrinted>
  <dcterms:created xsi:type="dcterms:W3CDTF">2024-01-09T02:28:00Z</dcterms:created>
  <dcterms:modified xsi:type="dcterms:W3CDTF">2024-01-22T06:37:00Z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0x0101003C12677C32C6FA468F74A81E861D89F4</vt:lpwstr>
  </property>
</Properties>
</file>